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360"/>
        <w:jc w:val="center"/>
      </w:pPr>
      <w:r>
        <w:rPr>
          <w:b/>
          <w:sz w:val="32"/>
        </w:rPr>
        <w:t>Программный комплекс «Айтечество»</w:t>
      </w:r>
    </w:p>
    <w:p>
      <w:pPr>
        <w:spacing w:before="0" w:after="80"/>
        <w:jc w:val="center"/>
      </w:pPr>
      <w:r>
        <w:rPr>
          <w:b/>
          <w:sz w:val="40"/>
        </w:rPr>
        <w:t>Описание технических средств</w:t>
      </w:r>
    </w:p>
    <w:p>
      <w:pPr>
        <w:spacing w:before="0" w:after="80"/>
        <w:jc w:val="center"/>
      </w:pPr>
      <w:r>
        <w:rPr>
          <w:b/>
          <w:sz w:val="28"/>
        </w:rPr>
        <w:t>активации, выдачи, распространения</w:t>
      </w:r>
    </w:p>
    <w:p>
      <w:pPr>
        <w:spacing w:before="0" w:after="80"/>
        <w:jc w:val="center"/>
      </w:pPr>
      <w:r>
        <w:rPr>
          <w:b/>
          <w:sz w:val="28"/>
        </w:rPr>
        <w:t>и управления лицензиями</w:t>
      </w:r>
    </w:p>
    <w:p>
      <w:pPr>
        <w:spacing w:before="480" w:after="0"/>
        <w:jc w:val="center"/>
      </w:pPr>
      <w:r>
        <w:rPr>
          <w:b w:val="0"/>
          <w:sz w:val="24"/>
        </w:rPr>
        <w:t>Правообладатель:</w:t>
      </w:r>
    </w:p>
    <w:p>
      <w:pPr>
        <w:spacing w:before="0" w:after="80"/>
        <w:jc w:val="center"/>
      </w:pPr>
      <w:r>
        <w:rPr>
          <w:b w:val="0"/>
          <w:sz w:val="24"/>
        </w:rPr>
        <w:t>Индивидуальный предприниматель Орлова Юлия Витальевна</w:t>
      </w:r>
    </w:p>
    <w:p>
      <w:pPr>
        <w:spacing w:before="0" w:after="360"/>
        <w:jc w:val="center"/>
      </w:pPr>
      <w:r>
        <w:rPr>
          <w:b w:val="0"/>
          <w:sz w:val="24"/>
        </w:rPr>
        <w:t>Версия 0.2.0 (редакция RU)</w:t>
      </w:r>
    </w:p>
    <w:tbl>
      <w:tblPr>
        <w:tblStyle w:val="TableGrid"/>
        <w:tblW w:type="auto" w:w="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2948"/>
        <w:gridCol w:w="6406"/>
      </w:tblGrid>
      <w:tr>
        <w:tc>
          <w:tcPr>
            <w:tcW w:type="dxa" w:w="2948"/>
          </w:tcPr>
          <w:p>
            <w:r>
              <w:rPr>
                <w:sz w:val="20"/>
              </w:rPr>
              <w:t>Дата</w:t>
            </w:r>
          </w:p>
        </w:tc>
        <w:tc>
          <w:tcPr>
            <w:tcW w:type="dxa" w:w="6406"/>
          </w:tcPr>
          <w:p>
            <w:r>
              <w:rPr>
                <w:sz w:val="20"/>
              </w:rPr>
              <w:t>27.10.2026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Коммит исходного кода (git)</w:t>
            </w:r>
          </w:p>
        </w:tc>
        <w:tc>
          <w:tcPr>
            <w:tcW w:type="dxa" w:w="6406"/>
          </w:tcPr>
          <w:p>
            <w:r>
              <w:rPr>
                <w:rFonts w:ascii="Courier New" w:hAnsi="Courier New"/>
                <w:sz w:val="15"/>
              </w:rPr>
              <w:t>8bd0d1297cddc6e0456c7b6627d524fee42062c4</w:t>
            </w:r>
          </w:p>
        </w:tc>
      </w:tr>
    </w:tbl>
    <w:p>
      <w:pPr>
        <w:spacing w:before="200" w:after="0"/>
        <w:jc w:val="center"/>
      </w:pPr>
      <w:r>
        <w:rPr>
          <w:b w:val="0"/>
          <w:sz w:val="12"/>
        </w:rPr>
      </w:r>
    </w:p>
    <w:p>
      <w:pPr>
        <w:pStyle w:val="TocHeading"/>
        <w:pageBreakBefore/>
      </w:pPr>
      <w:r>
        <w:t>Содержание</w:t>
      </w:r>
    </w:p>
    <w:p>
      <w:pPr>
        <w:spacing w:after="20"/>
        <w:ind w:left="0"/>
      </w:pPr>
      <w:r>
        <w:rPr>
          <w:b w:val="0"/>
          <w:sz w:val="22"/>
        </w:rPr>
        <w:t>1. Общие сведения</w:t>
      </w:r>
    </w:p>
    <w:p>
      <w:pPr>
        <w:spacing w:after="20"/>
        <w:ind w:left="340"/>
      </w:pPr>
      <w:r>
        <w:rPr>
          <w:b w:val="0"/>
          <w:sz w:val="20"/>
        </w:rPr>
        <w:t>1.1. Назначение документа</w:t>
      </w:r>
    </w:p>
    <w:p>
      <w:pPr>
        <w:spacing w:after="20"/>
        <w:ind w:left="340"/>
      </w:pPr>
      <w:r>
        <w:rPr>
          <w:b w:val="0"/>
          <w:sz w:val="20"/>
        </w:rPr>
        <w:t>1.2. Сведения о программном обеспечении</w:t>
      </w:r>
    </w:p>
    <w:p>
      <w:pPr>
        <w:spacing w:after="20"/>
        <w:ind w:left="340"/>
      </w:pPr>
      <w:r>
        <w:rPr>
          <w:b w:val="0"/>
          <w:sz w:val="20"/>
        </w:rPr>
        <w:t>1.3. Порядок предоставления права использования</w:t>
      </w:r>
    </w:p>
    <w:p>
      <w:pPr>
        <w:spacing w:after="20"/>
        <w:ind w:left="340"/>
      </w:pPr>
      <w:r>
        <w:rPr>
          <w:b w:val="0"/>
          <w:sz w:val="20"/>
        </w:rPr>
        <w:t>1.4. Лицензионные ключи</w:t>
      </w:r>
    </w:p>
    <w:p>
      <w:pPr>
        <w:spacing w:after="20"/>
        <w:ind w:left="0"/>
      </w:pPr>
      <w:r>
        <w:rPr>
          <w:b w:val="0"/>
          <w:sz w:val="22"/>
        </w:rPr>
        <w:t>2. Средства управления правами использования</w:t>
      </w:r>
    </w:p>
    <w:p>
      <w:pPr>
        <w:spacing w:after="20"/>
        <w:ind w:left="340"/>
      </w:pPr>
      <w:r>
        <w:rPr>
          <w:b w:val="0"/>
          <w:sz w:val="20"/>
        </w:rPr>
        <w:t>2.1. Состав средств</w:t>
      </w:r>
    </w:p>
    <w:p>
      <w:pPr>
        <w:spacing w:after="20"/>
        <w:ind w:left="340"/>
      </w:pPr>
      <w:r>
        <w:rPr>
          <w:b w:val="0"/>
          <w:sz w:val="20"/>
        </w:rPr>
        <w:t>2.2. Тарифы</w:t>
      </w:r>
    </w:p>
    <w:p>
      <w:pPr>
        <w:spacing w:after="20"/>
        <w:ind w:left="340"/>
      </w:pPr>
      <w:r>
        <w:rPr>
          <w:b w:val="0"/>
          <w:sz w:val="20"/>
        </w:rPr>
        <w:t>2.3. Активация</w:t>
      </w:r>
    </w:p>
    <w:p>
      <w:pPr>
        <w:spacing w:after="20"/>
        <w:ind w:left="340"/>
      </w:pPr>
      <w:r>
        <w:rPr>
          <w:b w:val="0"/>
          <w:sz w:val="20"/>
        </w:rPr>
        <w:t>2.4. Контроль прав использования</w:t>
      </w:r>
    </w:p>
    <w:p>
      <w:pPr>
        <w:spacing w:after="20"/>
        <w:ind w:left="340"/>
      </w:pPr>
      <w:r>
        <w:rPr>
          <w:b w:val="0"/>
          <w:sz w:val="20"/>
        </w:rPr>
        <w:t>2.5. Продление, изменение и прекращение</w:t>
      </w:r>
    </w:p>
    <w:p>
      <w:pPr>
        <w:spacing w:after="20"/>
        <w:ind w:left="340"/>
      </w:pPr>
      <w:r>
        <w:rPr>
          <w:b w:val="0"/>
          <w:sz w:val="20"/>
        </w:rPr>
        <w:t>2.6. Администрирование платформы</w:t>
      </w:r>
    </w:p>
    <w:p>
      <w:pPr>
        <w:spacing w:after="20"/>
        <w:ind w:left="340"/>
      </w:pPr>
      <w:r>
        <w:rPr>
          <w:b w:val="0"/>
          <w:sz w:val="20"/>
        </w:rPr>
        <w:t>2.7. API-ключи</w:t>
      </w:r>
    </w:p>
    <w:p>
      <w:pPr>
        <w:spacing w:after="20"/>
        <w:ind w:left="0"/>
      </w:pPr>
      <w:r>
        <w:rPr>
          <w:b w:val="0"/>
          <w:sz w:val="22"/>
        </w:rPr>
        <w:t>3. Распространение</w:t>
      </w:r>
    </w:p>
    <w:p>
      <w:pPr>
        <w:spacing w:after="20"/>
        <w:ind w:left="340"/>
      </w:pPr>
      <w:r>
        <w:rPr>
          <w:b w:val="0"/>
          <w:sz w:val="20"/>
        </w:rPr>
        <w:t>3.1. Облачная версия</w:t>
      </w:r>
    </w:p>
    <w:p>
      <w:pPr>
        <w:spacing w:after="20"/>
        <w:ind w:left="340"/>
      </w:pPr>
      <w:r>
        <w:rPr>
          <w:b w:val="0"/>
          <w:sz w:val="20"/>
        </w:rPr>
        <w:t>3.2. Установка в инфраструктуре заказчика</w:t>
      </w:r>
    </w:p>
    <w:p>
      <w:pPr>
        <w:spacing w:after="20"/>
        <w:ind w:left="0"/>
      </w:pPr>
      <w:r>
        <w:rPr>
          <w:b w:val="0"/>
          <w:sz w:val="22"/>
        </w:rPr>
        <w:t>4. Размещение технических средств и контроль над ними</w:t>
      </w:r>
    </w:p>
    <w:p>
      <w:pPr>
        <w:pStyle w:val="Heading1"/>
        <w:pageBreakBefore/>
      </w:pPr>
      <w:r>
        <w:rPr>
          <w:b w:val="0"/>
          <w:sz w:val="28"/>
        </w:rPr>
        <w:t>1. Общие сведения</w:t>
      </w:r>
    </w:p>
    <w:p>
      <w:pPr>
        <w:pStyle w:val="Heading2"/>
      </w:pPr>
      <w:r>
        <w:rPr>
          <w:b w:val="0"/>
          <w:sz w:val="24"/>
        </w:rPr>
        <w:t>1.1. Назначение документа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Документ содержит описание технических средств, необходимых для активации, выдачи, распространения прав использования программного комплекса «Айтечество» (далее — программный комплекс) и управления ими, а также сведения о месте размещения этих средств и о лицах, которые их контролируют. Документ предусмотрен подпунктом «з» пункта 11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— членов Евразийского экономического союза, за исключением Российской Федерации, утверждённых постановлением Правительства Российской Федерации от 16.11.2015 № 1236 (в редакции от 13.08.2026) (далее — Правила), и описывает соответствие программного комплекса требованию подпункта «к» пункта 5 Правил.</w:t>
      </w:r>
    </w:p>
    <w:p>
      <w:pPr>
        <w:pStyle w:val="Heading2"/>
      </w:pPr>
      <w:r>
        <w:rPr>
          <w:b w:val="0"/>
          <w:sz w:val="24"/>
        </w:rPr>
        <w:t>1.2. Сведения о программном обеспечении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rPr>
          <w:tblHeader/>
          <w:cantSplit/>
        </w:trPr>
        <w:tc>
          <w:tcPr>
            <w:tcW w:type="dxa" w:w="340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Наименование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Программный комплекс «Айтечество»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Версия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0.2.0 (редакция RU)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Правообладатель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Индивидуальный предприниматель Орлова Юлия Витальевна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1.3. Порядок предоставления права использования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Правообладатель предоставляет право использования программного комплекса на условиях простой (неисключительной) лицензии двумя способами: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 xml:space="preserve">облачная версия — удалённый доступ через сеть Интернет к инсталляции правообладателя по публичной оферте (лицензионному договору), размещённой на сайте правообладателя; объём прав определяется тарифом, выбранным организацией (раздел 2.2) </w:t>
      </w:r>
      <w:r>
        <w:rPr>
          <w:b/>
          <w:sz w:val="22"/>
          <w:highlight w:val="yellow"/>
        </w:rPr>
        <w:t>[ПРОВЕРИТЬ ДО ПОДАЧИ: окончательная редакция публичной оферты, в которой лицензиаром указан правообладатель, опубликована на сайте правообладателя]</w:t>
      </w:r>
      <w:r>
        <w:rPr>
          <w:b w:val="0"/>
          <w:sz w:val="22"/>
        </w:rPr>
        <w:t>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 xml:space="preserve">установка в инфраструктуре заказчика — по лицензионному договору с заказчиком; объём прав (число пользователей, срок, состав функций) определяется договором, а комплект поставки передаётся в порядке раздела 3.2 </w:t>
      </w:r>
      <w:r>
        <w:rPr>
          <w:b/>
          <w:sz w:val="22"/>
          <w:highlight w:val="yellow"/>
        </w:rPr>
        <w:t>[ПРОВЕРИТЬ ДО ПОДАЧИ: утверждена форма лицензионного договора на установку в инфраструктуре заказчика]</w:t>
      </w:r>
      <w:r>
        <w:rPr>
          <w:b w:val="0"/>
          <w:sz w:val="22"/>
        </w:rPr>
        <w:t>.</w:t>
      </w:r>
    </w:p>
    <w:p>
      <w:pPr>
        <w:pStyle w:val="Heading2"/>
      </w:pPr>
      <w:r>
        <w:rPr>
          <w:b w:val="0"/>
          <w:sz w:val="24"/>
        </w:rPr>
        <w:t>1.4. Лицензионные ключи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Лицензионные ключи, коды и файлы активации в программном комплексе не применяются. Программный комплекс не содержит технических средств защиты авторских прав, не проверяет наличие лицензии обращением к серверам правообладателя или третьих лиц, не передаёт правообладателю сведения об инсталляции и её использовании и не имеет принудительного обновления. Функции, которые в других программах выполняют лицензионные ключи, — активация, выдача и распространение прав использования и управление ими — выполняют средства учёта организаций, тарифов и подписок, входящие в состав программного комплекса (раздел 2), и средства распространения комплекта поставки (раздел 3).</w:t>
      </w:r>
    </w:p>
    <w:p>
      <w:pPr>
        <w:pStyle w:val="Heading1"/>
      </w:pPr>
      <w:r>
        <w:rPr>
          <w:b w:val="0"/>
          <w:sz w:val="28"/>
        </w:rPr>
        <w:t>2. Средства управления правами использования</w:t>
      </w:r>
    </w:p>
    <w:p>
      <w:pPr>
        <w:pStyle w:val="Heading2"/>
      </w:pPr>
      <w:r>
        <w:rPr>
          <w:b w:val="0"/>
          <w:sz w:val="24"/>
        </w:rPr>
        <w:t>2.1. Состав средств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4819"/>
        <w:gridCol w:w="1984"/>
      </w:tblGrid>
      <w:tr>
        <w:trPr>
          <w:tblHeader/>
          <w:cantSplit/>
        </w:trPr>
        <w:tc>
          <w:tcPr>
            <w:tcW w:type="dxa" w:w="2551"/>
          </w:tcPr>
          <w:p>
            <w:r>
              <w:rPr>
                <w:b/>
                <w:sz w:val="19"/>
              </w:rPr>
              <w:t>Средство</w:t>
            </w:r>
          </w:p>
        </w:tc>
        <w:tc>
          <w:tcPr>
            <w:tcW w:type="dxa" w:w="4819"/>
          </w:tcPr>
          <w:p>
            <w:r>
              <w:rPr>
                <w:b/>
                <w:sz w:val="19"/>
              </w:rPr>
              <w:t>Назначение</w:t>
            </w:r>
          </w:p>
        </w:tc>
        <w:tc>
          <w:tcPr>
            <w:tcW w:type="dxa" w:w="1984"/>
          </w:tcPr>
          <w:p>
            <w:r>
              <w:rPr>
                <w:b/>
                <w:sz w:val="19"/>
              </w:rPr>
              <w:t>Компонент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Учётные записи пользователей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Регистрация по адресу электронной почты с подтверждением, вход по паролю и, по выбору пользователя, с двухфакторной аутентификацией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api, база данных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Организации и участники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Организация — единица учёта прав использования (лицензиат); участники и действующие приглашения занимают места тарифа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api, база данных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Тарифы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Число мест, месячная квота запросов, срок хранения журнала, состав функций, ограничения частоты запросов и числа подключений к провайдерам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api, база данных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Подписки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Право использования организации: тариф, состояние, оплаченный период, срок доступа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api, worker, база данных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Оплата и продление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Приём платежей через ЮKassa, счета на оплату, автопродление, льготный период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api, worker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Администрирование платформы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Назначение тарифа, изменение состояния организации и подписки, срока доступа, кредитного лимита, отметка об оплате счетов, возвраты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веб-консоль, api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API-ключи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Доступ приложений организации к шлюзу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api, gateway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Контроль в шлюзе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Проверка состояния организации и подписки, квот и функций тарифа при каждом запросе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gateway</w:t>
            </w:r>
          </w:p>
        </w:tc>
      </w:tr>
      <w:tr>
        <w:trPr>
          <w:cantSplit/>
        </w:trPr>
        <w:tc>
          <w:tcPr>
            <w:tcW w:type="dxa" w:w="2551"/>
          </w:tcPr>
          <w:p>
            <w:r>
              <w:rPr>
                <w:b w:val="0"/>
                <w:sz w:val="19"/>
              </w:rPr>
              <w:t>Журнал аудита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Запись изменений подписок, тарифов, ключей и действий администраторов платформы</w:t>
            </w:r>
          </w:p>
        </w:tc>
        <w:tc>
          <w:tcPr>
            <w:tcW w:type="dxa" w:w="1984"/>
          </w:tcPr>
          <w:p>
            <w:r>
              <w:rPr>
                <w:b w:val="0"/>
                <w:sz w:val="19"/>
              </w:rPr>
              <w:t>api, база данных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Все перечисленные средства входят в состав программного комплекса и работают в той инсталляции, в которой используются: облачной версии — в инсталляции правообладателя, при установке в инфраструктуре заказчика — в инсталляции заказчика.</w:t>
      </w:r>
    </w:p>
    <w:p>
      <w:pPr>
        <w:pStyle w:val="Heading2"/>
      </w:pPr>
      <w:r>
        <w:rPr>
          <w:b w:val="0"/>
          <w:sz w:val="24"/>
        </w:rPr>
        <w:t>2.2. Тарифы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Тарифы хранятся в базе данных инсталляции; недостающие тарифы добавляются при каждом развёртывании (раздел 7.1 документа «Информация, необходимая для установки и эксплуатации»).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984"/>
        <w:gridCol w:w="2268"/>
        <w:gridCol w:w="5102"/>
      </w:tblGrid>
      <w:tr>
        <w:trPr>
          <w:tblHeader/>
          <w:cantSplit/>
        </w:trPr>
        <w:tc>
          <w:tcPr>
            <w:tcW w:type="dxa" w:w="1984"/>
          </w:tcPr>
          <w:p>
            <w:r>
              <w:rPr>
                <w:b/>
                <w:sz w:val="19"/>
              </w:rPr>
              <w:t>Тариф</w:t>
            </w:r>
          </w:p>
        </w:tc>
        <w:tc>
          <w:tcPr>
            <w:tcW w:type="dxa" w:w="2268"/>
          </w:tcPr>
          <w:p>
            <w:r>
              <w:rPr>
                <w:b/>
                <w:sz w:val="19"/>
              </w:rPr>
              <w:t>Мест</w:t>
            </w:r>
          </w:p>
        </w:tc>
        <w:tc>
          <w:tcPr>
            <w:tcW w:type="dxa" w:w="5102"/>
          </w:tcPr>
          <w:p>
            <w:r>
              <w:rPr>
                <w:b/>
                <w:sz w:val="19"/>
              </w:rPr>
              <w:t>Особенности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«Пилот»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до 20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Пробный период 14 дней; предоставляется один раз на адрес электронной почты владельца и ИНН организации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«Старт»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до 10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Оплата за месяц или за год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«Команда»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до 50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Пользовательские правила обнаружения, словари, вебхуки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«Бизнес»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до 200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Расследования, выгрузка для систем мониторинга событий, политики по расписанию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«Корпоративный»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без ограничения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Индивидуальные условия; назначается администратором платформы по договору с заказчиком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2.3. Активация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Для облачной версии право использования активируется так: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Пользователь регистрируется в веб-консоли и подтверждает адрес электронной почты по ссылке из письма (ссылка действует 48 часов). Если открытая регистрация в инсталляции выключена, учётная запись создаётся только по приглашению в существующую организацию.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При создании организации создаётся её подписка. Если пробный период для адреса владельца и ИНН организации ещё не использовался, подписка получает тариф «Пилот» на 14 дней; иначе подписка создаётся в состоянии «истекла», и шлюз не принимает запросы организации до оплаты тарифа.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Право использования по платному тарифу активируется оплатой: после подтверждения платежа ЮKassa или отметки администратора платформы об оплате счёта подписка переходит в состояние «активна» на оплаченный период (месяц или год).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Сотрудники организации подключаются по приглашениям владельца или администратора; приглашение невозможно, если все места тарифа заняты.</w:t>
      </w:r>
    </w:p>
    <w:p>
      <w:pPr>
        <w:pStyle w:val="Heading2"/>
      </w:pPr>
      <w:r>
        <w:rPr>
          <w:b w:val="0"/>
          <w:sz w:val="24"/>
        </w:rPr>
        <w:t>2.4. Контроль прав использования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Шлюз обслуживает запросы организации, только если организация не приостановлена, а её подписка находится в состоянии «пробный период», «активна» или «просрочена оплата» и срок доступа не истёк. В остальных случаях запрос отклоняется с сообщением «Подписка организации неактивна.» или «Организация приостановлена.». Шлюз также отклоняет запросы сверх месячной квоты тарифа («Исчерпана месячная квота запросов.») и обращения к функциям, не входящим в тариф. Число участников организации вместе с действующими приглашениями не может превышать число мест тарифа. Изменения тарифа и подписки применяются шлюзом без перезапуска.</w:t>
      </w:r>
    </w:p>
    <w:p>
      <w:pPr>
        <w:pStyle w:val="Heading2"/>
      </w:pPr>
      <w:r>
        <w:rPr>
          <w:b w:val="0"/>
          <w:sz w:val="24"/>
        </w:rPr>
        <w:t>2.5. Продление, изменение и прекращение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Подписка продлевается оплатой следующего периода; по согласию плательщика — автоматически списанием с сохранённой банковской карты или через SberPay.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При неуспешном списании подписка переходит в состояние «просрочена оплата» и действует льготный период (по умолчанию 7 дней при оплате картой и 14 дней при оплате по счёту), после которого доступ прекращается.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Повышение тарифа применяется сразу с доплатой за остаток периода, понижение — со следующего периода.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Владелец может отменить подписку; она действует до конца оплаченного периода.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При удалении организации подписка отменяется, API-ключи и сохранённые карты отзываются.</w:t>
      </w:r>
    </w:p>
    <w:p>
      <w:pPr>
        <w:pStyle w:val="Heading2"/>
      </w:pPr>
      <w:r>
        <w:rPr>
          <w:b w:val="0"/>
          <w:sz w:val="24"/>
        </w:rPr>
        <w:t>2.6. Администрирование платформы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Администраторы платформы (вход в раздел администрирования требует двухфакторной аутентификации) назначают организации тариф, в том числе «Корпоративный», изменяют состояние организации (действует, приостановлена) и подписки, дату окончания периода и срок доступа, способ оплаты (по счёту, вручную), льготный срок, кредитный лимит для платформенных моделей, корректируют баланс с обязательным комментарием, отмечают оплату счетов, аннулируют счета и оформляют возвраты. Каждое действие записывается в журнал аудита с указанием администратора.</w:t>
      </w:r>
    </w:p>
    <w:p>
      <w:pPr>
        <w:pStyle w:val="Heading2"/>
      </w:pPr>
      <w:r>
        <w:rPr>
          <w:b w:val="0"/>
          <w:sz w:val="24"/>
        </w:rPr>
        <w:t>2.7. API-ключи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API-ключи не являются лицензионными ключами: это учётные данные приложений организации для обращения к шлюзу. Ключ создаётся участником организации в веб-консоли в пределах прав его роли, секрет показывается один раз, а в базе данных хранится только его хеш (HMAC с секретным ключом инсталляции). Для ключа задаются срок действия, ограничение частоты запросов (не больше лимита тарифа), перечень доступных моделей и группа для политик. Отозванный ключ перестаёт действовать сразу.</w:t>
      </w:r>
    </w:p>
    <w:p>
      <w:pPr>
        <w:pStyle w:val="Heading1"/>
      </w:pPr>
      <w:r>
        <w:rPr>
          <w:b w:val="0"/>
          <w:sz w:val="28"/>
        </w:rPr>
        <w:t>3. Распространение</w:t>
      </w:r>
    </w:p>
    <w:p>
      <w:pPr>
        <w:pStyle w:val="Heading2"/>
      </w:pPr>
      <w:r>
        <w:rPr>
          <w:b w:val="0"/>
          <w:sz w:val="24"/>
        </w:rPr>
        <w:t>3.1. Облачная версия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Экземпляры программного комплекса пользователям облачной версии не передаются: доступ предоставляется через сеть Интернет к инсталляции правообладателя средствами раздела 2.</w:t>
      </w:r>
    </w:p>
    <w:p>
      <w:pPr>
        <w:pStyle w:val="Heading2"/>
      </w:pPr>
      <w:r>
        <w:rPr>
          <w:b w:val="0"/>
          <w:sz w:val="24"/>
        </w:rPr>
        <w:t>3.2. Установка в инфраструктуре заказчика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После заключения лицензионного договора правообладатель выдаёт заказчику персональные учётные данные с правом только чтения для получения комплекта поставки из реестра образов правообладателя (документ «Описание технических средств хранения исходного текста и объектного кода и средств компиляции», раздел 3). Учётные данные действуют в течение срока лицензионного договора и отзываются при его прекращении.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Образы получаются по номеру версии и проверяются по дайджесту SHA-256 (документ «Информация, необходимая для установки и эксплуатации», раздел 1.4).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В инсталляции заказчика встроенный биллинг выключен (параметр BILLING_ENABLED). Администратор платформы заказчика назначает организациям тариф «Корпоративный» или тариф, предусмотренный договором, и дату окончания периода, равную сроку лицензии; по истечении срока доступа шлюз прекращает обслуживание запросов организации до продления.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Инсталляция заказчика не обращается к правообладателю: соблюдение объёма прав обеспечивается лицензионным договором и средствами раздела 2, которыми управляет заказчик. Обновления заказчик получает из того же реестра и устанавливает сам; принудительное обновление отсутствует.</w:t>
      </w:r>
    </w:p>
    <w:p>
      <w:pPr>
        <w:pStyle w:val="Heading1"/>
      </w:pPr>
      <w:r>
        <w:rPr>
          <w:b w:val="0"/>
          <w:sz w:val="28"/>
        </w:rPr>
        <w:t>4. Размещение технических средств и контроль над ними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rPr>
          <w:tblHeader/>
          <w:cantSplit/>
        </w:trPr>
        <w:tc>
          <w:tcPr>
            <w:tcW w:type="dxa" w:w="3118"/>
          </w:tcPr>
          <w:p>
            <w:r>
              <w:rPr>
                <w:b/>
                <w:sz w:val="19"/>
              </w:rPr>
              <w:t>Средство</w:t>
            </w:r>
          </w:p>
        </w:tc>
        <w:tc>
          <w:tcPr>
            <w:tcW w:type="dxa" w:w="3118"/>
          </w:tcPr>
          <w:p>
            <w:r>
              <w:rPr>
                <w:b/>
                <w:sz w:val="19"/>
              </w:rPr>
              <w:t>Место размещения</w:t>
            </w:r>
          </w:p>
        </w:tc>
        <w:tc>
          <w:tcPr>
            <w:tcW w:type="dxa" w:w="3118"/>
          </w:tcPr>
          <w:p>
            <w:r>
              <w:rPr>
                <w:b/>
                <w:sz w:val="19"/>
              </w:rPr>
              <w:t>Контроль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Средства раздела 2 облачной версии (сервисы api, worker, gateway и база данных инсталляции правообладателя)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Серверы инсталляции правообладателя на территории Российской Федерации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Правообладатель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Реестр образов (раздел 3.2)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Реестр правообладателя на территории Российской Федерации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Правообладатель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Приём платежей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Российский платёжный сервис ЮKassa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Правообладатель (договор с оператором сервиса)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Отправка писем (подтверждение адреса, приглашения, счета)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Почтовый сервер на территории Российской Федерации или российский сервис Unisender Go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Правообладатель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Средства раздела 2 в инсталляции заказчика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Серверы заказчика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Заказчик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Права администратора платформы инсталляции правообладателя, административный доступ к её серверам и к реестру образов имеют только правообладатель — гражданин Российской Федерации — и исполнитель по договору на доработку и сопровождение программы для ЭВМ «Айтечество». Управление этими средствами из-за пределов Российской Федерации не осуществляется.</w:t>
      </w:r>
    </w:p>
    <w:p>
      <w:pPr>
        <w:pStyle w:val="DocNote"/>
        <w:jc w:val="both"/>
      </w:pPr>
      <w:r>
        <w:rPr>
          <w:b w:val="0"/>
          <w:sz w:val="20"/>
        </w:rPr>
        <w:t xml:space="preserve">Условия на дату подачи заявления: </w:t>
      </w:r>
      <w:r>
        <w:rPr>
          <w:b/>
          <w:sz w:val="20"/>
          <w:highlight w:val="yellow"/>
        </w:rPr>
        <w:t>[ПРОВЕРИТЬ ДО ПОДАЧИ: экземпляр редакции RU развёрнут на сервере на территории Российской Федерации, арендованном правообладателем; реестр образов перенесён на территорию Российской Федерации (условия документа «Описание технических средств хранения исходного текста и объектного кода и средств компиляции»); договор с оператором ЮKassa заключён правообладателем]</w:t>
      </w:r>
      <w:r>
        <w:rPr>
          <w:b w:val="0"/>
          <w:sz w:val="20"/>
        </w:rPr>
        <w:t xml:space="preserve"> </w:t>
      </w:r>
      <w:r>
        <w:rPr>
          <w:b/>
          <w:sz w:val="20"/>
          <w:highlight w:val="yellow"/>
        </w:rPr>
        <w:t>[ПРОВЕРИТЬ ДО ПОДАЧИ: все лица, имеющие права администратора платформы и доступ к серверам и реестру, — граждане Российской Федерации и находятся на её территории]</w:t>
      </w:r>
    </w:p>
    <w:sectPr w:rsidR="00FC693F" w:rsidRPr="0006063C" w:rsidSect="00034616">
      <w:headerReference w:type="first" r:id="rId9"/>
      <w:footerReference w:type="first" r:id="rId10"/>
      <w:headerReference w:type="default" r:id="rId11"/>
      <w:footerReference w:type="default" r:id="rId12"/>
      <w:pgSz w:w="11906" w:h="16838"/>
      <w:pgMar w:top="1134" w:right="1134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  <w:rPr>
        <w:sz w:val="16"/>
      </w:rPr>
    </w:pPr>
    <w:r>
      <w:rPr>
        <w:sz w:val="16"/>
      </w:rPr>
      <w:t xml:space="preserve">Страница </w:t>
    </w:r>
    <w:fldSimple w:instr=" PAGE \* Arabic ">
      <w:r>
        <w:rPr>
          <w:noProof/>
          <w:sz w:val="16"/>
        </w:rPr>
        <w:t>1</w:t>
      </w:r>
    </w:fldSimple>
    <w:r>
      <w:rPr>
        <w:sz w:val="16"/>
      </w:rPr>
      <w:t xml:space="preserve"> из </w:t>
    </w:r>
    <w:fldSimple w:instr=" NUMPAGES \* Arabic ">
      <w:r>
        <w:rPr>
          <w:noProof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1" w:color="000000"/>
      </w:pBdr>
      <w:jc w:val="center"/>
      <w:rPr>
        <w:sz w:val="16"/>
      </w:rPr>
    </w:pPr>
    <w:r>
      <w:rPr>
        <w:sz w:val="16"/>
      </w:rPr>
      <w:t xml:space="preserve">Программный комплекс «Айтечество». Описание технических средств активации и управления лицензиями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hideGrammaticalErrors/>
  <w:hideSpellingError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pacing w:after="0" w:line="24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40" w:lineRule="auto"/>
      <w:outlineLvl w:val="0"/>
    </w:pPr>
    <w:rPr>
      <w:rFonts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="Times New Roman" w:hAnsi="Times New Roman" w:eastAsia="Times New Roman" w:cs="Times New Roman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ing">
    <w:name w:val="Listing"/>
    <w:basedOn w:val="Normal"/>
    <w:pPr>
      <w:widowControl w:val="0"/>
      <w:spacing w:before="0" w:after="0" w:line="240" w:lineRule="auto"/>
      <w:snapToGrid w:val="0"/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ListingHeader">
    <w:name w:val="ListingHeader"/>
    <w:basedOn w:val="Listing"/>
    <w:pPr>
      <w:keepNext/>
      <w:widowControl w:val="0"/>
      <w:spacing w:before="0" w:after="0" w:line="240" w:lineRule="auto"/>
      <w:snapToGrid w:val="0"/>
      <w:pBdr>
        <w:bottom w:val="single" w:sz="4" w:space="0" w:color="000000"/>
      </w:pBdr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TocHeading">
    <w:name w:val="TocHeading"/>
    <w:basedOn w:val="Normal"/>
    <w:pPr>
      <w:keepNext/>
      <w:spacing w:after="120"/>
    </w:pPr>
    <w:rPr>
      <w:b/>
      <w:sz w:val="24"/>
    </w:rPr>
  </w:style>
  <w:style w:type="paragraph" w:customStyle="1" w:styleId="DocCode">
    <w:name w:val="DocCode"/>
    <w:basedOn w:val="Listing"/>
    <w:pPr>
      <w:ind w:left="340"/>
    </w:pPr>
    <w:rPr>
      <w:sz w:val="17"/>
    </w:rPr>
  </w:style>
  <w:style w:type="paragraph" w:customStyle="1" w:styleId="DocNote">
    <w:name w:val="DocNote"/>
    <w:basedOn w:val="Normal"/>
    <w:pPr>
      <w:spacing w:after="120"/>
      <w:ind w:left="340"/>
    </w:pPr>
    <w:rPr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комплекс «Айтечество». Описание технических средств активации и управления лицензиями</dc:title>
  <dc:subject>Версия 0.2.0 (редакция RU)</dc:subject>
  <dc:creator/>
  <cp:keywords/>
  <dc:description/>
  <cp:lastModifiedBy/>
  <cp:revision>1</cp:revision>
  <dcterms:created xsi:type="dcterms:W3CDTF">2026-10-27T15:08:29Z</dcterms:created>
  <dcterms:modified xsi:type="dcterms:W3CDTF">2026-10-27T15:08:29Z</dcterms:modified>
  <cp:category/>
  <dc:language>ru-RU</dc:language>
</cp:coreProperties>
</file>