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360"/>
        <w:jc w:val="center"/>
      </w:pPr>
      <w:r>
        <w:rPr>
          <w:b/>
          <w:sz w:val="32"/>
        </w:rPr>
        <w:t>Программный комплекс «Айтечество»</w:t>
      </w:r>
    </w:p>
    <w:p>
      <w:pPr>
        <w:spacing w:before="0" w:after="80"/>
        <w:jc w:val="center"/>
      </w:pPr>
      <w:r>
        <w:rPr>
          <w:b/>
          <w:sz w:val="40"/>
        </w:rPr>
        <w:t>Описание процессов,</w:t>
      </w:r>
    </w:p>
    <w:p>
      <w:pPr>
        <w:spacing w:before="0" w:after="80"/>
        <w:jc w:val="center"/>
      </w:pPr>
      <w:r>
        <w:rPr>
          <w:b/>
          <w:sz w:val="28"/>
        </w:rPr>
        <w:t>обеспечивающих поддержание жизненного цикла</w:t>
      </w:r>
    </w:p>
    <w:p>
      <w:pPr>
        <w:spacing w:before="0" w:after="80"/>
        <w:jc w:val="center"/>
      </w:pPr>
      <w:r>
        <w:rPr>
          <w:b/>
          <w:sz w:val="28"/>
        </w:rPr>
        <w:t>программного обеспечения</w:t>
      </w:r>
    </w:p>
    <w:p>
      <w:pPr>
        <w:spacing w:before="480" w:after="0"/>
        <w:jc w:val="center"/>
      </w:pPr>
      <w:r>
        <w:rPr>
          <w:b w:val="0"/>
          <w:sz w:val="24"/>
        </w:rPr>
        <w:t>Правообладатель:</w:t>
      </w:r>
    </w:p>
    <w:p>
      <w:pPr>
        <w:spacing w:before="0" w:after="80"/>
        <w:jc w:val="center"/>
      </w:pPr>
      <w:r>
        <w:rPr>
          <w:b w:val="0"/>
          <w:sz w:val="24"/>
        </w:rPr>
        <w:t>Индивидуальный предприниматель Орлова Юлия Витальевна</w:t>
      </w:r>
    </w:p>
    <w:p>
      <w:pPr>
        <w:spacing w:before="0" w:after="360"/>
        <w:jc w:val="center"/>
      </w:pPr>
      <w:r>
        <w:rPr>
          <w:b w:val="0"/>
          <w:sz w:val="24"/>
        </w:rPr>
        <w:t>Версия 0.2.0 (редакция RU)</w:t>
      </w:r>
    </w:p>
    <w:tbl>
      <w:tblPr>
        <w:tblStyle w:val="TableGrid"/>
        <w:tblW w:type="auto" w:w="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2948"/>
        <w:gridCol w:w="6406"/>
      </w:tblGrid>
      <w:tr>
        <w:tc>
          <w:tcPr>
            <w:tcW w:type="dxa" w:w="2948"/>
          </w:tcPr>
          <w:p>
            <w:r>
              <w:rPr>
                <w:sz w:val="20"/>
              </w:rPr>
              <w:t>Дата</w:t>
            </w:r>
          </w:p>
        </w:tc>
        <w:tc>
          <w:tcPr>
            <w:tcW w:type="dxa" w:w="6406"/>
          </w:tcPr>
          <w:p>
            <w:r>
              <w:rPr>
                <w:sz w:val="20"/>
              </w:rPr>
              <w:t>27.10.2026</w:t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Коммит исходного кода (git)</w:t>
            </w:r>
          </w:p>
        </w:tc>
        <w:tc>
          <w:tcPr>
            <w:tcW w:type="dxa" w:w="6406"/>
          </w:tcPr>
          <w:p>
            <w:r>
              <w:rPr>
                <w:rFonts w:ascii="Courier New" w:hAnsi="Courier New"/>
                <w:sz w:val="15"/>
              </w:rPr>
              <w:t>8bd0d1297cddc6e0456c7b6627d524fee42062c4</w:t>
            </w:r>
          </w:p>
        </w:tc>
      </w:tr>
    </w:tbl>
    <w:p>
      <w:pPr>
        <w:spacing w:before="200" w:after="0"/>
        <w:jc w:val="center"/>
      </w:pPr>
      <w:r>
        <w:rPr>
          <w:b w:val="0"/>
          <w:sz w:val="12"/>
        </w:rPr>
      </w:r>
    </w:p>
    <w:p>
      <w:pPr>
        <w:pStyle w:val="TocHeading"/>
        <w:pageBreakBefore/>
      </w:pPr>
      <w:r>
        <w:t>Содержание</w:t>
      </w:r>
    </w:p>
    <w:p>
      <w:pPr>
        <w:spacing w:after="20"/>
        <w:ind w:left="0"/>
      </w:pPr>
      <w:r>
        <w:rPr>
          <w:b w:val="0"/>
          <w:sz w:val="22"/>
        </w:rPr>
        <w:t>1. Общие сведения</w:t>
      </w:r>
    </w:p>
    <w:p>
      <w:pPr>
        <w:spacing w:after="20"/>
        <w:ind w:left="340"/>
      </w:pPr>
      <w:r>
        <w:rPr>
          <w:b w:val="0"/>
          <w:sz w:val="20"/>
        </w:rPr>
        <w:t>1.1. Назначение документа</w:t>
      </w:r>
    </w:p>
    <w:p>
      <w:pPr>
        <w:spacing w:after="20"/>
        <w:ind w:left="340"/>
      </w:pPr>
      <w:r>
        <w:rPr>
          <w:b w:val="0"/>
          <w:sz w:val="20"/>
        </w:rPr>
        <w:t>1.2. Сведения о правообладателе</w:t>
      </w:r>
    </w:p>
    <w:p>
      <w:pPr>
        <w:spacing w:after="20"/>
        <w:ind w:left="340"/>
      </w:pPr>
      <w:r>
        <w:rPr>
          <w:b w:val="0"/>
          <w:sz w:val="20"/>
        </w:rPr>
        <w:t>1.3. Этапы жизненного цикла</w:t>
      </w:r>
    </w:p>
    <w:p>
      <w:pPr>
        <w:spacing w:after="20"/>
        <w:ind w:left="0"/>
      </w:pPr>
      <w:r>
        <w:rPr>
          <w:b w:val="0"/>
          <w:sz w:val="22"/>
        </w:rPr>
        <w:t>2. Устранение неисправностей</w:t>
      </w:r>
    </w:p>
    <w:p>
      <w:pPr>
        <w:spacing w:after="20"/>
        <w:ind w:left="340"/>
      </w:pPr>
      <w:r>
        <w:rPr>
          <w:b w:val="0"/>
          <w:sz w:val="20"/>
        </w:rPr>
        <w:t>2.1. Источники сведений о неисправностях</w:t>
      </w:r>
    </w:p>
    <w:p>
      <w:pPr>
        <w:spacing w:after="20"/>
        <w:ind w:left="340"/>
      </w:pPr>
      <w:r>
        <w:rPr>
          <w:b w:val="0"/>
          <w:sz w:val="20"/>
        </w:rPr>
        <w:t>2.2. Регистрация и классификация</w:t>
      </w:r>
    </w:p>
    <w:p>
      <w:pPr>
        <w:spacing w:after="20"/>
        <w:ind w:left="340"/>
      </w:pPr>
      <w:r>
        <w:rPr>
          <w:b w:val="0"/>
          <w:sz w:val="20"/>
        </w:rPr>
        <w:t>2.3. Порядок устранения</w:t>
      </w:r>
    </w:p>
    <w:p>
      <w:pPr>
        <w:spacing w:after="20"/>
        <w:ind w:left="340"/>
      </w:pPr>
      <w:r>
        <w:rPr>
          <w:b w:val="0"/>
          <w:sz w:val="20"/>
        </w:rPr>
        <w:t>2.4. Инциденты с персональными данными</w:t>
      </w:r>
    </w:p>
    <w:p>
      <w:pPr>
        <w:spacing w:after="20"/>
        <w:ind w:left="340"/>
      </w:pPr>
      <w:r>
        <w:rPr>
          <w:b w:val="0"/>
          <w:sz w:val="20"/>
        </w:rPr>
        <w:t>2.5. Уязвимости</w:t>
      </w:r>
    </w:p>
    <w:p>
      <w:pPr>
        <w:spacing w:after="20"/>
        <w:ind w:left="340"/>
      </w:pPr>
      <w:r>
        <w:rPr>
          <w:b w:val="0"/>
          <w:sz w:val="20"/>
        </w:rPr>
        <w:t>2.6. Восстановление после сбоев</w:t>
      </w:r>
    </w:p>
    <w:p>
      <w:pPr>
        <w:spacing w:after="20"/>
        <w:ind w:left="0"/>
      </w:pPr>
      <w:r>
        <w:rPr>
          <w:b w:val="0"/>
          <w:sz w:val="22"/>
        </w:rPr>
        <w:t>3. Совершенствование программного комплекса</w:t>
      </w:r>
    </w:p>
    <w:p>
      <w:pPr>
        <w:spacing w:after="20"/>
        <w:ind w:left="340"/>
      </w:pPr>
      <w:r>
        <w:rPr>
          <w:b w:val="0"/>
          <w:sz w:val="20"/>
        </w:rPr>
        <w:t>3.1. Источники требований</w:t>
      </w:r>
    </w:p>
    <w:p>
      <w:pPr>
        <w:spacing w:after="20"/>
        <w:ind w:left="340"/>
      </w:pPr>
      <w:r>
        <w:rPr>
          <w:b w:val="0"/>
          <w:sz w:val="20"/>
        </w:rPr>
        <w:t>3.2. Планирование</w:t>
      </w:r>
    </w:p>
    <w:p>
      <w:pPr>
        <w:spacing w:after="20"/>
        <w:ind w:left="340"/>
      </w:pPr>
      <w:r>
        <w:rPr>
          <w:b w:val="0"/>
          <w:sz w:val="20"/>
        </w:rPr>
        <w:t>3.3. Разработка и контроль качества</w:t>
      </w:r>
    </w:p>
    <w:p>
      <w:pPr>
        <w:spacing w:after="20"/>
        <w:ind w:left="340"/>
      </w:pPr>
      <w:r>
        <w:rPr>
          <w:b w:val="0"/>
          <w:sz w:val="20"/>
        </w:rPr>
        <w:t>3.4. Совместимость</w:t>
      </w:r>
    </w:p>
    <w:p>
      <w:pPr>
        <w:spacing w:after="20"/>
        <w:ind w:left="0"/>
      </w:pPr>
      <w:r>
        <w:rPr>
          <w:b w:val="0"/>
          <w:sz w:val="22"/>
        </w:rPr>
        <w:t>4. Выпуск версий</w:t>
      </w:r>
    </w:p>
    <w:p>
      <w:pPr>
        <w:spacing w:after="20"/>
        <w:ind w:left="340"/>
      </w:pPr>
      <w:r>
        <w:rPr>
          <w:b w:val="0"/>
          <w:sz w:val="20"/>
        </w:rPr>
        <w:t>4.1. Нумерация версий</w:t>
      </w:r>
    </w:p>
    <w:p>
      <w:pPr>
        <w:spacing w:after="20"/>
        <w:ind w:left="340"/>
      </w:pPr>
      <w:r>
        <w:rPr>
          <w:b w:val="0"/>
          <w:sz w:val="20"/>
        </w:rPr>
        <w:t>4.2. Сборка и публикация</w:t>
      </w:r>
    </w:p>
    <w:p>
      <w:pPr>
        <w:spacing w:after="20"/>
        <w:ind w:left="340"/>
      </w:pPr>
      <w:r>
        <w:rPr>
          <w:b w:val="0"/>
          <w:sz w:val="20"/>
        </w:rPr>
        <w:t>4.3. Поставка и установка обновлений</w:t>
      </w:r>
    </w:p>
    <w:p>
      <w:pPr>
        <w:spacing w:after="20"/>
        <w:ind w:left="0"/>
      </w:pPr>
      <w:r>
        <w:rPr>
          <w:b w:val="0"/>
          <w:sz w:val="22"/>
        </w:rPr>
        <w:t>5. Техническая поддержка</w:t>
      </w:r>
    </w:p>
    <w:p>
      <w:pPr>
        <w:spacing w:after="20"/>
        <w:ind w:left="340"/>
      </w:pPr>
      <w:r>
        <w:rPr>
          <w:b w:val="0"/>
          <w:sz w:val="20"/>
        </w:rPr>
        <w:t>5.1. Каналы</w:t>
      </w:r>
    </w:p>
    <w:p>
      <w:pPr>
        <w:spacing w:after="20"/>
        <w:ind w:left="340"/>
      </w:pPr>
      <w:r>
        <w:rPr>
          <w:b w:val="0"/>
          <w:sz w:val="20"/>
        </w:rPr>
        <w:t>5.2. Состав услуг</w:t>
      </w:r>
    </w:p>
    <w:p>
      <w:pPr>
        <w:spacing w:after="20"/>
        <w:ind w:left="0"/>
      </w:pPr>
      <w:r>
        <w:rPr>
          <w:b w:val="0"/>
          <w:sz w:val="22"/>
        </w:rPr>
        <w:t>6. Персонал</w:t>
      </w:r>
    </w:p>
    <w:p>
      <w:pPr>
        <w:spacing w:after="20"/>
        <w:ind w:left="340"/>
      </w:pPr>
      <w:r>
        <w:rPr>
          <w:b w:val="0"/>
          <w:sz w:val="20"/>
        </w:rPr>
        <w:t>6.1. Состав персонала</w:t>
      </w:r>
    </w:p>
    <w:p>
      <w:pPr>
        <w:spacing w:after="20"/>
        <w:ind w:left="340"/>
      </w:pPr>
      <w:r>
        <w:rPr>
          <w:b w:val="0"/>
          <w:sz w:val="20"/>
        </w:rPr>
        <w:t>6.2. Место работы персонала</w:t>
      </w:r>
    </w:p>
    <w:p>
      <w:pPr>
        <w:spacing w:after="20"/>
        <w:ind w:left="340"/>
      </w:pPr>
      <w:r>
        <w:rPr>
          <w:b w:val="0"/>
          <w:sz w:val="20"/>
        </w:rPr>
        <w:t>6.3. Требования к квалификации</w:t>
      </w:r>
    </w:p>
    <w:p>
      <w:pPr>
        <w:spacing w:after="20"/>
        <w:ind w:left="0"/>
      </w:pPr>
      <w:r>
        <w:rPr>
          <w:b w:val="0"/>
          <w:sz w:val="22"/>
        </w:rPr>
        <w:t>7. Вывод из эксплуатации</w:t>
      </w:r>
    </w:p>
    <w:p>
      <w:pPr>
        <w:pStyle w:val="Heading1"/>
        <w:pageBreakBefore/>
      </w:pPr>
      <w:r>
        <w:rPr>
          <w:b w:val="0"/>
          <w:sz w:val="28"/>
        </w:rPr>
        <w:t>1. Общие сведения</w:t>
      </w:r>
    </w:p>
    <w:p>
      <w:pPr>
        <w:pStyle w:val="Heading2"/>
      </w:pPr>
      <w:r>
        <w:rPr>
          <w:b w:val="0"/>
          <w:sz w:val="24"/>
        </w:rPr>
        <w:t>1.1. Назначение документа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Документ описывает процессы, обеспечивающие поддержание жизненного цикла программного комплекса «Айтечество» (далее — программный комплекс): устранение неисправностей, выявленных в ходе эксплуатации, совершенствование программного комплекса, выпуск и поставку новых версий, техническую поддержку пользователей, а также сведения о персонале, необходимом для такой поддержки. Документ входит в состав документации, прилагаемой к заявлению о включении сведений о программном обеспечении в единый реестр российских программ для электронных вычислительных машин и баз данных. Документ предусмотрен подпунктом «е» пункта 11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— членов Евразийского экономического союза, за исключением Российской Федерации, утверждённых постановлением Правительства Российской Федерации от 16.11.2015 № 1236 (в редакции от 13.08.2026) (далее — Правила).</w:t>
      </w:r>
    </w:p>
    <w:p>
      <w:pPr>
        <w:pStyle w:val="Heading2"/>
      </w:pPr>
      <w:r>
        <w:rPr>
          <w:b w:val="0"/>
          <w:sz w:val="24"/>
        </w:rPr>
        <w:t>1.2. Сведения о правообладателе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5953"/>
      </w:tblGrid>
      <w:tr>
        <w:trPr>
          <w:tblHeader/>
          <w:cantSplit/>
        </w:trPr>
        <w:tc>
          <w:tcPr>
            <w:tcW w:type="dxa" w:w="3402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Правообладатель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Индивидуальный предприниматель Орлова Юлия Витальевна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ОГРНИП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318784700117489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ИНН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781438442029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Адрес места осуществления деятельности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  <w:highlight w:val="yellow"/>
              </w:rPr>
              <w:t>[ЗАПОЛНИТЬ: адрес на территории Российской Федерации]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Адрес электронной почты технической поддержки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  <w:highlight w:val="yellow"/>
              </w:rPr>
              <w:t>[ЗАПОЛНИТЬ]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Телефон технической поддержки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  <w:highlight w:val="yellow"/>
              </w:rPr>
              <w:t>[ЗАПОЛНИТЬ]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Сайт программного комплекса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https://айтечество.рф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1.3. Этапы жизненного цикла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Жизненный цикл программного комплекса включает разработку, проверку качества, выпуск версии, поставку и установку у заказчика или в инсталляции правообладателя, эксплуатацию и сопровождение (устранение неисправностей, обновление, техническая поддержка), а также вывод из эксплуатации. Работы выполняют правообладатель и исполнитель по договору на доработку и сопровождение (раздел 6); средства хранения исходного текста и сборки описаны в документе «Описание технических средств хранения исходного текста и объектного кода и средств компиляции».</w:t>
      </w:r>
    </w:p>
    <w:p>
      <w:pPr>
        <w:pStyle w:val="Heading1"/>
      </w:pPr>
      <w:r>
        <w:rPr>
          <w:b w:val="0"/>
          <w:sz w:val="28"/>
        </w:rPr>
        <w:t>2. Устранение неисправностей</w:t>
      </w:r>
    </w:p>
    <w:p>
      <w:pPr>
        <w:pStyle w:val="Heading2"/>
      </w:pPr>
      <w:r>
        <w:rPr>
          <w:b w:val="0"/>
          <w:sz w:val="24"/>
        </w:rPr>
        <w:t>2.1. Источники сведений о неисправностях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обращения пользователей в техническую поддержку (раздел 5);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автоматический мониторинг: метрики сервисов и правила оповещений (ошибки и задержки шлюза, недоступность сервисов, очередь событий, биллинг, целевые показатели доступности), внешняя проверка доступности и срока действия сертификатов, ежедневная проверка резервных копий;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автоматические проверки при каждом изменении исходного текста и ночные сквозные тесты (раздел 3.3);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еженедельная проверка закреплённых сторонних образов на известные уязвимости.</w:t>
      </w:r>
    </w:p>
    <w:p>
      <w:pPr>
        <w:pStyle w:val="Heading2"/>
      </w:pPr>
      <w:r>
        <w:rPr>
          <w:b w:val="0"/>
          <w:sz w:val="24"/>
        </w:rPr>
        <w:t>2.2. Регистрация и классификация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 xml:space="preserve">Каждая неисправность регистрируется в системе учёта задач правообладателя — модуле учёта задач системы хранения исходного текста (документ «Описание технических средств хранения исходного текста и объектного кода и средств компиляции», раздел 2.1) — с описанием, условиями воспроизведения, версией и оценкой критичности. Содержимое запросов пользователей, персональные данные и секреты в системе учёта задач не размещаются. </w:t>
      </w:r>
      <w:r>
        <w:rPr>
          <w:b/>
          <w:sz w:val="22"/>
          <w:highlight w:val="yellow"/>
        </w:rPr>
        <w:t>[ПРОВЕРИТЬ ДО ПОДАЧИ: система учёта задач сервиса хранения исходного текста правообладателя введена в работу]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814"/>
        <w:gridCol w:w="4706"/>
        <w:gridCol w:w="1417"/>
        <w:gridCol w:w="1417"/>
      </w:tblGrid>
      <w:tr>
        <w:trPr>
          <w:tblHeader/>
          <w:cantSplit/>
        </w:trPr>
        <w:tc>
          <w:tcPr>
            <w:tcW w:type="dxa" w:w="1814"/>
          </w:tcPr>
          <w:p>
            <w:r>
              <w:rPr>
                <w:b/>
                <w:sz w:val="19"/>
              </w:rPr>
              <w:t>Критичность</w:t>
            </w:r>
          </w:p>
        </w:tc>
        <w:tc>
          <w:tcPr>
            <w:tcW w:type="dxa" w:w="4706"/>
          </w:tcPr>
          <w:p>
            <w:r>
              <w:rPr>
                <w:b/>
                <w:sz w:val="19"/>
              </w:rPr>
              <w:t>Признаки</w:t>
            </w:r>
          </w:p>
        </w:tc>
        <w:tc>
          <w:tcPr>
            <w:tcW w:type="dxa" w:w="1417"/>
          </w:tcPr>
          <w:p>
            <w:r>
              <w:rPr>
                <w:b/>
                <w:sz w:val="19"/>
              </w:rPr>
              <w:t>Реакция</w:t>
            </w:r>
          </w:p>
        </w:tc>
        <w:tc>
          <w:tcPr>
            <w:tcW w:type="dxa" w:w="1417"/>
          </w:tcPr>
          <w:p>
            <w:r>
              <w:rPr>
                <w:b/>
                <w:sz w:val="19"/>
              </w:rPr>
              <w:t>Устранение</w:t>
            </w:r>
          </w:p>
        </w:tc>
      </w:tr>
      <w:tr>
        <w:trPr>
          <w:cantSplit/>
        </w:trPr>
        <w:tc>
          <w:tcPr>
            <w:tcW w:type="dxa" w:w="1814"/>
          </w:tcPr>
          <w:p>
            <w:r>
              <w:rPr>
                <w:b w:val="0"/>
                <w:sz w:val="19"/>
              </w:rPr>
              <w:t>Критическая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Возможная передача немаскированных данных провайдеру модели или третьим лицам; недоступность шлюза; потеря данных</w:t>
            </w:r>
          </w:p>
        </w:tc>
        <w:tc>
          <w:tcPr>
            <w:tcW w:type="dxa" w:w="1417"/>
          </w:tcPr>
          <w:p>
            <w:r>
              <w:rPr>
                <w:b w:val="0"/>
                <w:sz w:val="19"/>
              </w:rPr>
              <w:t>2 часа, круглосуточно</w:t>
            </w:r>
          </w:p>
        </w:tc>
        <w:tc>
          <w:tcPr>
            <w:tcW w:type="dxa" w:w="1417"/>
          </w:tcPr>
          <w:p>
            <w:r>
              <w:rPr>
                <w:b w:val="0"/>
                <w:sz w:val="19"/>
              </w:rPr>
              <w:t>24 часа</w:t>
            </w:r>
          </w:p>
        </w:tc>
      </w:tr>
      <w:tr>
        <w:trPr>
          <w:cantSplit/>
        </w:trPr>
        <w:tc>
          <w:tcPr>
            <w:tcW w:type="dxa" w:w="1814"/>
          </w:tcPr>
          <w:p>
            <w:r>
              <w:rPr>
                <w:b w:val="0"/>
                <w:sz w:val="19"/>
              </w:rPr>
              <w:t>Высокая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Отказ одной из функций без обходного пути (консоль, оплата, отдельный провайдер)</w:t>
            </w:r>
          </w:p>
        </w:tc>
        <w:tc>
          <w:tcPr>
            <w:tcW w:type="dxa" w:w="1417"/>
          </w:tcPr>
          <w:p>
            <w:r>
              <w:rPr>
                <w:b w:val="0"/>
                <w:sz w:val="19"/>
              </w:rPr>
              <w:t>4 рабочих часа</w:t>
            </w:r>
          </w:p>
        </w:tc>
        <w:tc>
          <w:tcPr>
            <w:tcW w:type="dxa" w:w="1417"/>
          </w:tcPr>
          <w:p>
            <w:r>
              <w:rPr>
                <w:b w:val="0"/>
                <w:sz w:val="19"/>
              </w:rPr>
              <w:t>3 рабочих дня</w:t>
            </w:r>
          </w:p>
        </w:tc>
      </w:tr>
      <w:tr>
        <w:trPr>
          <w:cantSplit/>
        </w:trPr>
        <w:tc>
          <w:tcPr>
            <w:tcW w:type="dxa" w:w="1814"/>
          </w:tcPr>
          <w:p>
            <w:r>
              <w:rPr>
                <w:b w:val="0"/>
                <w:sz w:val="19"/>
              </w:rPr>
              <w:t>Средняя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Отказ функции при наличии обходного пути; пропуск значения отдельной категории без передачи за пределы организации</w:t>
            </w:r>
          </w:p>
        </w:tc>
        <w:tc>
          <w:tcPr>
            <w:tcW w:type="dxa" w:w="1417"/>
          </w:tcPr>
          <w:p>
            <w:r>
              <w:rPr>
                <w:b w:val="0"/>
                <w:sz w:val="19"/>
              </w:rPr>
              <w:t>1 рабочий день</w:t>
            </w:r>
          </w:p>
        </w:tc>
        <w:tc>
          <w:tcPr>
            <w:tcW w:type="dxa" w:w="1417"/>
          </w:tcPr>
          <w:p>
            <w:r>
              <w:rPr>
                <w:b w:val="0"/>
                <w:sz w:val="19"/>
              </w:rPr>
              <w:t>В ближайшей версии, не позднее 30 дней</w:t>
            </w:r>
          </w:p>
        </w:tc>
      </w:tr>
      <w:tr>
        <w:trPr>
          <w:cantSplit/>
        </w:trPr>
        <w:tc>
          <w:tcPr>
            <w:tcW w:type="dxa" w:w="1814"/>
          </w:tcPr>
          <w:p>
            <w:r>
              <w:rPr>
                <w:b w:val="0"/>
                <w:sz w:val="19"/>
              </w:rPr>
              <w:t>Низкая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Недочёты интерфейса и документации</w:t>
            </w:r>
          </w:p>
        </w:tc>
        <w:tc>
          <w:tcPr>
            <w:tcW w:type="dxa" w:w="1417"/>
          </w:tcPr>
          <w:p>
            <w:r>
              <w:rPr>
                <w:b w:val="0"/>
                <w:sz w:val="19"/>
              </w:rPr>
              <w:t>3 рабочих дня</w:t>
            </w:r>
          </w:p>
        </w:tc>
        <w:tc>
          <w:tcPr>
            <w:tcW w:type="dxa" w:w="1417"/>
          </w:tcPr>
          <w:p>
            <w:r>
              <w:rPr>
                <w:b w:val="0"/>
                <w:sz w:val="19"/>
              </w:rPr>
              <w:t>По плану выпусков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Реакция — подтверждение регистрации обращения и начало работ по нему; устранение — выпуск исправления или предоставление обходного решения. Сроки отсчитываются от регистрации обращения или срабатывания мониторинга; рабочие часы и дни определяются режимом работы технической поддержки (раздел 5.1).</w:t>
      </w:r>
    </w:p>
    <w:p>
      <w:pPr>
        <w:pStyle w:val="Heading2"/>
      </w:pPr>
      <w:r>
        <w:rPr>
          <w:b w:val="0"/>
          <w:sz w:val="24"/>
        </w:rPr>
        <w:t>2.3. Порядок устранения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Неисправность воспроизводится на тестовой инсталляции; для дефектов маскирования используется обезличенный пример, а не исходный текст пользователя.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Исправление вносится в отдельной ветке и сопровождается тестом, воспроизводящим неисправность: для пропуска значения — новым случаем эталонного набора маскирования, для ошибок восстановления — проверкой восстановления.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Исправление проходит рецензирование и все автоматические проверки (раздел 3.3) и сливается в основную ветку.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Исправление выпускается в составе ближайшей версии; критические исправления выпускаются отдельной корректирующей версией (раздел 4.1).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5.</w:t>
        <w:tab/>
        <w:t>После установки выполняется проверочный сценарий и проверяются признаки неисправности; обращение закрывается с уведомлением пользователя.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Если неисправность вызвана новой версией, инсталляция возвращается к предыдущей версии повторным развёртыванием её образов: миграции схемы базы данных обратно совместимы, поэтому откат схемы не требуется.</w:t>
      </w:r>
    </w:p>
    <w:p>
      <w:pPr>
        <w:pStyle w:val="Heading2"/>
      </w:pPr>
      <w:r>
        <w:rPr>
          <w:b w:val="0"/>
          <w:sz w:val="24"/>
        </w:rPr>
        <w:t>2.4. Инциденты с персональными данными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При подозрении на неправомерную передачу персональных данных (в том числе из-за дефекта маскирования) применяется отдельная процедура: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Регистрация инцидента с фиксацией времени обнаружения — не позднее 30 минут.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Сдерживание: сохранение сведений для расследования, затем остановка передачи (для дефекта маскирования — возврат шлюза к последней исправной версии).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Оценка состава затронутых данных, организаций и провайдеров — в течение 10 часов.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 xml:space="preserve">Уведомление затронутых заказчиков — не позднее 12 часов с момента обнаружения; уведомление Роскомнадзора в сроки, установленные законодательством о персональных данных (24 часа — об инциденте, 72 часа — о результатах расследования), и взаимодействие с ГосСОПКА в случаях, предусмотренных законодательством. </w:t>
      </w:r>
      <w:r>
        <w:rPr>
          <w:b/>
          <w:sz w:val="22"/>
          <w:highlight w:val="yellow"/>
        </w:rPr>
        <w:t>[ПРОВЕРИТЬ: распределение обязанностей по уведомлению между правообладателем и заказчиком как операторами персональных данных]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5.</w:t>
        <w:tab/>
        <w:t>Устранение причины, тест на неисправность, проверка после установки и разбор инцидента в течение 5 рабочих дней.</w:t>
      </w:r>
    </w:p>
    <w:p>
      <w:pPr>
        <w:pStyle w:val="Heading2"/>
      </w:pPr>
      <w:r>
        <w:rPr>
          <w:b w:val="0"/>
          <w:sz w:val="24"/>
        </w:rPr>
        <w:t>2.5. Уязвимости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Зависимости программного комплекса закреплены файлами блокировки с хешами, базовые образы — по дайджесту. При каждом изменении исходного текста выполняется поиск известных уязвимостей в зависимостях Go, Python и JavaScript; собранные образы проверяются сканером уязвимостей, и образ с исправимой критической уязвимостью не получает тега выпуска. Обнаруженные уязвимости устраняются обновлением зависимости или базового образа и выпуском корректирующей версии. Сообщения об уязвимостях принимаются по адресу технической поддержки.</w:t>
      </w:r>
    </w:p>
    <w:p>
      <w:pPr>
        <w:pStyle w:val="Heading2"/>
      </w:pPr>
      <w:r>
        <w:rPr>
          <w:b w:val="0"/>
          <w:sz w:val="24"/>
        </w:rPr>
        <w:t>2.6. Восстановление после сбоев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База данных ежедневно копируется в зашифрованном виде в объектное хранилище вне сервера данных (срок хранения — 14 дней, в Kubernetes дополнительно непрерывное архивирование журнала транзакций). Ежемесячно выполняется проверочное восстановление во временную базу данных со сверкой числа строк; неуспешная проверка рассматривается как инцидент. Порядок восстановления приведён в документе «Информация, необходимая для установки и эксплуатации».</w:t>
      </w:r>
    </w:p>
    <w:p>
      <w:pPr>
        <w:pStyle w:val="Heading1"/>
      </w:pPr>
      <w:r>
        <w:rPr>
          <w:b w:val="0"/>
          <w:sz w:val="28"/>
        </w:rPr>
        <w:t>3. Совершенствование программного комплекса</w:t>
      </w:r>
    </w:p>
    <w:p>
      <w:pPr>
        <w:pStyle w:val="Heading2"/>
      </w:pPr>
      <w:r>
        <w:rPr>
          <w:b w:val="0"/>
          <w:sz w:val="24"/>
        </w:rPr>
        <w:t>3.1. Источники требований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предложения пользователей и заказчиков, поступающие в техническую поддержку и через форму на сайте;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обезличенная статистика использования (журнал запросов содержит только метаданные);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результаты измерения качества маскирования на эталонном наборе текстов;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изменения законодательства Российской Федерации о персональных данных и информации;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изменения API провайдеров языковых моделей (YandexGPT, GigaChat) и появление новых моделей.</w:t>
      </w:r>
    </w:p>
    <w:p>
      <w:pPr>
        <w:pStyle w:val="Heading2"/>
      </w:pPr>
      <w:r>
        <w:rPr>
          <w:b w:val="0"/>
          <w:sz w:val="24"/>
        </w:rPr>
        <w:t>3.2. Планирование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Предложения регистрируются в системе учёта задач, оцениваются правообладателем по ценности для пользователей, влиянию на обработку данных пользователей и трудоёмкости и включаются в план выпусков. План пересматривается перед каждой дополнительной версией. Дополнительные версии выпускаются не реже одного раза в квартал, корректирующие — по мере необходимости; исправления критических неисправностей и уязвимостей выпускаются вне плана (раздел 4.1).</w:t>
      </w:r>
    </w:p>
    <w:p>
      <w:pPr>
        <w:pStyle w:val="Heading2"/>
      </w:pPr>
      <w:r>
        <w:rPr>
          <w:b w:val="0"/>
          <w:sz w:val="24"/>
        </w:rPr>
        <w:t>3.3. Разработка и контроль качества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Изменения вносятся в отдельных ветках и попадают в основную ветку только через запрос на слияние после рецензирования и успешного прохождения автоматических проверок: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согласованность общих контрактов (схема базы данных, JSON-схемы, типы API, перечень категорий) и их копий в компонентах;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статический анализ и проверка форматирования (Go, Python, TypeScript, сценарии оболочки, файлы сборочной системы), строгая проверка типов API управления;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модульные и интеграционные тесты всех компонентов с реальными PostgreSQL и Valkey, тесты шлюза с проверкой гонок;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эталонный набор текстов маскирования с нижними границами точности и полноты по каждой категории: изменение, ухудшающее показатели, не может быть принято;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архитектурная проверка того, что исходящие соединения шлюза выполняются только через единую точку с проверкой адресов;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поиск известных уязвимостей в зависимостях;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проверка чартов Helm и шаблона стека Docker Swarm, правил мониторинга;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сборка всех образов, полный набор тестов сервиса извлечения текста внутри его образа, проверка образов сканером уязвимостей;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совместимость с предыдущим выпуском: интеграционные тесты предыдущей версии выполняются на схеме базы данных новой версии;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сравнение производительности шлюза с основной веткой (отчёт).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 xml:space="preserve">Ежесуточно выполняются сквозные тесты веб-консоли и API на полной локальной инсталляции, еженедельно — нагрузочный тест. Сравнение с результатами предыдущих запусков и отклонение изменений, ухудшающих производительность более чем на 20 %, выполняются на выделенном сборочном сервере правообладателя (документ «Описание технических средств хранения исходного текста и объектного кода и средств компиляции», раздел 4.1); на других серверах тест только формирует отчёт. </w:t>
      </w:r>
      <w:r>
        <w:rPr>
          <w:b/>
          <w:sz w:val="22"/>
          <w:highlight w:val="yellow"/>
        </w:rPr>
        <w:t>[ПРОВЕРИТЬ ДО ПОДАЧИ: сборочный сервер на территории Российской Федерации назначен для нагрузочного теста]</w:t>
      </w:r>
    </w:p>
    <w:p>
      <w:pPr>
        <w:pStyle w:val="Heading2"/>
      </w:pPr>
      <w:r>
        <w:rPr>
          <w:b w:val="0"/>
          <w:sz w:val="24"/>
        </w:rPr>
        <w:t>3.4. Совместимость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Миграции схемы базы данных выполняются по схеме «расширение — сжатие»: новая версия совместима со схемой предыдущей, удаление и переименование полей выполняются на следующем выпуске. OpenAI-совместимый API шлюза и API маскирования сохраняют обратную совместимость в пределах основной версии.</w:t>
      </w:r>
    </w:p>
    <w:p>
      <w:pPr>
        <w:pStyle w:val="Heading1"/>
      </w:pPr>
      <w:r>
        <w:rPr>
          <w:b w:val="0"/>
          <w:sz w:val="28"/>
        </w:rPr>
        <w:t>4. Выпуск версий</w:t>
      </w:r>
    </w:p>
    <w:p>
      <w:pPr>
        <w:pStyle w:val="Heading2"/>
      </w:pPr>
      <w:r>
        <w:rPr>
          <w:b w:val="0"/>
          <w:sz w:val="24"/>
        </w:rPr>
        <w:t>4.1. Нумерация версий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 xml:space="preserve">Версия программного комплекса обозначается номером X.Y.Z, где X — основная версия (несовместимые изменения API), Y — дополнительная (новые функции), Z — корректирующая (исправления). Выпуск отмечается тегом vX.Y.Z в системе контроля версий. Текущая версия — 0.2.0 (редакция RU). Номера версий отдельных пакетов компонентов являются внутренними и с номером версии программного комплекса не совпадают. </w:t>
      </w:r>
      <w:r>
        <w:rPr>
          <w:b/>
          <w:sz w:val="22"/>
          <w:highlight w:val="yellow"/>
        </w:rPr>
        <w:t>[ПРОВЕРИТЬ ДО ПОДАЧИ: тег v0.2.0 установлен на коммит, указанный на титульном листе документа «Текст программы»]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Версия схемы базы данных обозначается номером последней миграции; сервис api не сообщает о готовности, пока схема базы данных не достигла версии, на которую он рассчитан.</w:t>
      </w:r>
    </w:p>
    <w:p>
      <w:pPr>
        <w:pStyle w:val="Heading2"/>
      </w:pPr>
      <w:r>
        <w:rPr>
          <w:b w:val="0"/>
          <w:sz w:val="24"/>
        </w:rPr>
        <w:t>4.2. Сборка и публикация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Образы контейнеров каждого компонента собираются один раз из коммита, публикуются в реестр образов правообладателя и после проверки сканером уязвимостей получают теги sha-&lt;первые 12 символов коммита&gt; и, для выпуска, vX.Y.Z. Состав образа фиксируется перечнем компонентов (SBOM). Состав выпуска: образы gateway, api, nlp, extractor, web, backup; чарты Helm; шаблон стека Docker Swarm и сценарии установки; файл закрепления сторонних образов; эксплуатационная документация.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 xml:space="preserve">Перечень изменений каждой версии (журнал изменений) ведётся в репозитории исходного текста, публикуется на сайте правообладателя в разделе документации «Изменения» одновременно с выпуском и направляется по электронной почте заказчикам, установившим программный комплекс в своей инфраструктуре. </w:t>
      </w:r>
      <w:r>
        <w:rPr>
          <w:b/>
          <w:sz w:val="22"/>
          <w:highlight w:val="yellow"/>
        </w:rPr>
        <w:t>[ПРОВЕРИТЬ ДО ПОДАЧИ: журнал изменений введён и опубликован на сайте правообладателя]</w:t>
      </w:r>
    </w:p>
    <w:p>
      <w:pPr>
        <w:pStyle w:val="Heading2"/>
      </w:pPr>
      <w:r>
        <w:rPr>
          <w:b w:val="0"/>
          <w:sz w:val="24"/>
        </w:rPr>
        <w:t>4.3. Поставка и установка обновлений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Заказчики, использующие инсталляцию правообладателя, получают обновления автоматически: правообладатель устанавливает новую версию с предварительным уведомлением о плановых работах. Заказчики, установившие программный комплекс в своей инфраструктуре, получают уведомление о выпуске и устанавливают обновление сами по документу «Информация, необходимая для установки и эксплуатации». Обновление выполняется без остановки обслуживания: экземпляры сервисов заменяются поочерёдно, а шлюз завершает начатые потоковые ответы перед остановкой. Обновления поступают в инсталляции только из сборочной системы и реестра образов правообладателя (документ «Описание технических средств хранения исходного текста и объектного кода и средств компиляции», разделы 3 и 4.4); принудительное обновление инсталляций заказчиков и управление ими со стороны правообладателя отсутствуют.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Срок поддержки версий: исправления критических неисправностей и уязвимостей выпускаются для текущей и предыдущей дополнительной версии; остальные исправления включаются в очередную версию.</w:t>
      </w:r>
    </w:p>
    <w:p>
      <w:pPr>
        <w:pStyle w:val="Heading1"/>
      </w:pPr>
      <w:r>
        <w:rPr>
          <w:b w:val="0"/>
          <w:sz w:val="28"/>
        </w:rPr>
        <w:t>5. Техническая поддержка</w:t>
      </w:r>
    </w:p>
    <w:p>
      <w:pPr>
        <w:pStyle w:val="Heading2"/>
      </w:pPr>
      <w:r>
        <w:rPr>
          <w:b w:val="0"/>
          <w:sz w:val="24"/>
        </w:rPr>
        <w:t>5.1. Каналы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5953"/>
      </w:tblGrid>
      <w:tr>
        <w:trPr>
          <w:tblHeader/>
          <w:cantSplit/>
        </w:trPr>
        <w:tc>
          <w:tcPr>
            <w:tcW w:type="dxa" w:w="3402"/>
          </w:tcPr>
          <w:p>
            <w:r>
              <w:rPr>
                <w:b/>
                <w:sz w:val="19"/>
              </w:rPr>
              <w:t>Канал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Электронная почта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  <w:highlight w:val="yellow"/>
              </w:rPr>
              <w:t>[ЗАПОЛНИТЬ: адрес технической поддержки]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Телефон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  <w:highlight w:val="yellow"/>
              </w:rPr>
              <w:t>[ЗАПОЛНИТЬ]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Форма на сайте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 xml:space="preserve">Раздел «Контакты» сайта программного комплекса https://айтечество.рф (темы: демонстрация, корпоративная лицензия, партнёрство, другое) </w:t>
            </w:r>
            <w:r>
              <w:rPr>
                <w:b/>
                <w:sz w:val="19"/>
                <w:highlight w:val="yellow"/>
              </w:rPr>
              <w:t>[ПРОВЕРИТЬ ДО ПОДАЧИ: форма заявок включена на сайте правообладателя]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Режим работы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Понедельник — пятница, с 10:00 до 19:00 по московскому времени, кроме нерабочих праздничных дней; сообщения о критических неисправностях инсталляции правообладателя принимаются круглосуточно по электронной почте и через автоматический мониторинг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Язык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Русский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5.2. Состав услуг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консультации по установке, настройке и эксплуатации программного комплекса;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консультации по настройке политик, подключений к провайдерам моделей и интеграции приложений через API;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приём и устранение неисправностей (раздел 2);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предоставление обновлений и документации;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восстановление работоспособности инсталляции правообладателя после сбоев.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Объём поддержки определяется тарифом или договором с заказчиком. Сроки реакции и устранения по уровням критичности приведены в разделе 2.2 и применяются, если договором с заказчиком не установлены иные сроки.</w:t>
      </w:r>
    </w:p>
    <w:p>
      <w:pPr>
        <w:pStyle w:val="Heading1"/>
      </w:pPr>
      <w:r>
        <w:rPr>
          <w:b w:val="0"/>
          <w:sz w:val="28"/>
        </w:rPr>
        <w:t>6. Персонал</w:t>
      </w:r>
    </w:p>
    <w:p>
      <w:pPr>
        <w:pStyle w:val="Heading2"/>
      </w:pPr>
      <w:r>
        <w:rPr>
          <w:b w:val="0"/>
          <w:sz w:val="24"/>
        </w:rPr>
        <w:t>6.1. Состав персонала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Поддержание жизненного цикла программного комплекса обеспечивают два лица: правообладатель — индивидуальный предприниматель, гражданин Российской Федерации, — и исполнитель по договору на доработку и сопровождение программы для ЭВМ «Айтечество», заключённому с правообладателем. По этому договору исполнитель выполняет доработку, сопровождение и эксплуатацию программного комплекса, а исключительное право на результаты доработки принадлежит правообладателю с момента их создания. Роли совмещаются: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4819"/>
        <w:gridCol w:w="1984"/>
      </w:tblGrid>
      <w:tr>
        <w:trPr>
          <w:tblHeader/>
          <w:cantSplit/>
        </w:trPr>
        <w:tc>
          <w:tcPr>
            <w:tcW w:type="dxa" w:w="2551"/>
          </w:tcPr>
          <w:p>
            <w:r>
              <w:rPr>
                <w:b/>
                <w:sz w:val="19"/>
              </w:rPr>
              <w:t>Роль</w:t>
            </w:r>
          </w:p>
        </w:tc>
        <w:tc>
          <w:tcPr>
            <w:tcW w:type="dxa" w:w="4819"/>
          </w:tcPr>
          <w:p>
            <w:r>
              <w:rPr>
                <w:b/>
                <w:sz w:val="19"/>
              </w:rPr>
              <w:t>Обязанности</w:t>
            </w:r>
          </w:p>
        </w:tc>
        <w:tc>
          <w:tcPr>
            <w:tcW w:type="dxa" w:w="1984"/>
          </w:tcPr>
          <w:p>
            <w:r>
              <w:rPr>
                <w:b/>
                <w:sz w:val="19"/>
              </w:rPr>
              <w:t>Исполняет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Руководство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Планирование работ и выпусков, утверждение выпуска версий, взаимодействие с заказчиками и регуляторами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Правообладатель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Приём обращений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Приём и регистрация обращений пользователей, первичные консультации, передача неисправностей в разработку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Правообладатель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Разработка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Шлюз, маскирование, API управления, фоновые задачи (Go, Python); веб-консоль, чат, сайт (TypeScript, React); рецензирование изменений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Качество маскирования и тестирование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Эталонный набор текстов, тесты, проверка выпусков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Эксплуатация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Сборочная система, реестр образов, инсталляция правообладателя, мониторинг, резервное копирование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Информационная безопасность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Уязвимости, ротация ключей, разбор инцидентов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Техническая поддержка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Устранение неисправностей, консультации по установке, настройке и интеграции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Исполнитель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 xml:space="preserve">Общее число лиц, обеспечивающих поддержку, — 2. </w:t>
      </w:r>
      <w:r>
        <w:rPr>
          <w:b/>
          <w:sz w:val="22"/>
          <w:highlight w:val="yellow"/>
        </w:rPr>
        <w:t>[ПРОВЕРИТЬ ДО ПОДАЧИ: договор на доработку и сопровождение подписан; исполнитель — гражданин Российской Федерации (подпункты «з» и «в» пункта 5 Правил: выплаты по договору на доработку иностранному физическому лицу учитываются в ограничении 30 % выручки); состав лиц соответствует таблице]</w:t>
      </w:r>
    </w:p>
    <w:p>
      <w:pPr>
        <w:pStyle w:val="Heading2"/>
      </w:pPr>
      <w:r>
        <w:rPr>
          <w:b w:val="0"/>
          <w:sz w:val="24"/>
        </w:rPr>
        <w:t>6.2. Место работы персонала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 xml:space="preserve">Правообладатель и исполнитель выполняют работы на территории Российской Федерации; фактический адрес, по которому осуществляется поддержка: </w:t>
      </w:r>
      <w:r>
        <w:rPr>
          <w:b/>
          <w:sz w:val="22"/>
          <w:highlight w:val="yellow"/>
        </w:rPr>
        <w:t>[ЗАПОЛНИТЬ: адрес на территории Российской Федерации]</w:t>
      </w:r>
      <w:r>
        <w:rPr>
          <w:b w:val="0"/>
          <w:sz w:val="22"/>
        </w:rPr>
        <w:t xml:space="preserve">. Договор на доработку и сопровождение обязывает исполнителя передавать изменения в инсталляции только через сборочную систему и реестр образов правообладателя на территории Российской Федерации, которые находятся под контролем правообладателя. Административный доступ к средствам хранения исходного текста, сборки и инсталляции правообладателя имеют только правообладатель и исполнитель; управление программным комплексом и его обновление из-за пределов Российской Федерации не осуществляются. </w:t>
      </w:r>
      <w:r>
        <w:rPr>
          <w:b/>
          <w:sz w:val="22"/>
          <w:highlight w:val="yellow"/>
        </w:rPr>
        <w:t>[ПРОВЕРИТЬ ДО ПОДАЧИ: оба лица находятся на территории Российской Федерации; средства хранения и сборки перенесены на территорию Российской Федерации (условия документа «Описание технических средств хранения исходного текста и объектного кода и средств компиляции»)]</w:t>
      </w:r>
    </w:p>
    <w:p>
      <w:pPr>
        <w:pStyle w:val="Heading2"/>
      </w:pPr>
      <w:r>
        <w:rPr>
          <w:b w:val="0"/>
          <w:sz w:val="24"/>
        </w:rPr>
        <w:t>6.3. Требования к квалификации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6803"/>
      </w:tblGrid>
      <w:tr>
        <w:trPr>
          <w:tblHeader/>
          <w:cantSplit/>
        </w:trPr>
        <w:tc>
          <w:tcPr>
            <w:tcW w:type="dxa" w:w="2551"/>
          </w:tcPr>
          <w:p>
            <w:r>
              <w:rPr>
                <w:b/>
                <w:sz w:val="19"/>
              </w:rPr>
              <w:t>Роль</w:t>
            </w:r>
          </w:p>
        </w:tc>
        <w:tc>
          <w:tcPr>
            <w:tcW w:type="dxa" w:w="6803"/>
          </w:tcPr>
          <w:p>
            <w:r>
              <w:rPr>
                <w:b/>
                <w:sz w:val="19"/>
              </w:rPr>
              <w:t>Требования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Руководство, приём обращений</w:t>
            </w:r>
          </w:p>
        </w:tc>
        <w:tc>
          <w:tcPr>
            <w:tcW w:type="dxa" w:w="6803"/>
          </w:tcPr>
          <w:p>
            <w:r>
              <w:rPr>
                <w:b w:val="0"/>
                <w:sz w:val="19"/>
              </w:rPr>
              <w:t>Опыт управления разработкой программного обеспечения или ИТ-проектами; знание законодательства Российской Федерации о персональных данных и об информации; навыки работы с веб-консолью программного комплекса и системой учёта задач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Разработка, тестирование, эксплуатация, информационная безопасность, техническая поддержка</w:t>
            </w:r>
          </w:p>
        </w:tc>
        <w:tc>
          <w:tcPr>
            <w:tcW w:type="dxa" w:w="6803"/>
          </w:tcPr>
          <w:p>
            <w:r>
              <w:rPr>
                <w:b w:val="0"/>
                <w:sz w:val="19"/>
              </w:rPr>
              <w:t>Знание языков программирования Go, Python и TypeScript; PostgreSQL; контейнерной виртуализации (Docker, Docker Swarm, Kubernetes, Helm); протоколов HTTP, TLS и Server-Sent Events; методов обработки естественного языка для русского языка; управления уязвимостями, ключами шифрования и реагирования на инциденты; законодательства Российской Федерации о персональных данных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 w:val="0"/>
          <w:sz w:val="28"/>
        </w:rPr>
        <w:t>7. Вывод из эксплуатации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При прекращении использования инсталляции заказчиком данные организаций удаляются средствами веб-консоли (удаление организации: данные удаляются через 30 дней, платёжные документы хранятся 5 лет) или удалением базы данных, объектного хранилища и резервных копий инсталляции. Резервные копии удаляются по истечении срока хранения (14 дней). Ключи шифрования уничтожаются после удаления всех копий данных.</w:t>
      </w:r>
    </w:p>
    <w:sectPr w:rsidR="00FC693F" w:rsidRPr="0006063C" w:rsidSect="00034616">
      <w:headerReference w:type="first" r:id="rId9"/>
      <w:footerReference w:type="first" r:id="rId10"/>
      <w:headerReference w:type="default" r:id="rId11"/>
      <w:footerReference w:type="default" r:id="rId12"/>
      <w:pgSz w:w="11906" w:h="16838"/>
      <w:pgMar w:top="1134" w:right="1134" w:bottom="1134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  <w:rPr>
        <w:sz w:val="16"/>
      </w:rPr>
    </w:pPr>
    <w:r>
      <w:rPr>
        <w:sz w:val="16"/>
      </w:rPr>
      <w:t xml:space="preserve">Страница </w:t>
    </w:r>
    <w:fldSimple w:instr=" PAGE \* Arabic ">
      <w:r>
        <w:rPr>
          <w:noProof/>
          <w:sz w:val="16"/>
        </w:rPr>
        <w:t>1</w:t>
      </w:r>
    </w:fldSimple>
    <w:r>
      <w:rPr>
        <w:sz w:val="16"/>
      </w:rPr>
      <w:t xml:space="preserve"> из </w:t>
    </w:r>
    <w:fldSimple w:instr=" NUMPAGES \* Arabic ">
      <w:r>
        <w:rPr>
          <w:noProof/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1" w:color="000000"/>
      </w:pBdr>
      <w:jc w:val="center"/>
      <w:rPr>
        <w:sz w:val="16"/>
      </w:rPr>
    </w:pPr>
    <w:r>
      <w:rPr>
        <w:sz w:val="16"/>
      </w:rPr>
      <w:t xml:space="preserve">Программный комплекс «Айтечество». Процессы жизненного цикла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hideGrammaticalErrors/>
  <w:hideSpellingError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pacing w:after="0" w:line="24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40" w:lineRule="auto"/>
      <w:outlineLvl w:val="0"/>
    </w:pPr>
    <w:rPr>
      <w:rFonts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rFonts w:ascii="Times New Roman" w:hAnsi="Times New Roman" w:eastAsia="Times New Roman" w:cs="Times New Roman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ing">
    <w:name w:val="Listing"/>
    <w:basedOn w:val="Normal"/>
    <w:pPr>
      <w:widowControl w:val="0"/>
      <w:spacing w:before="0" w:after="0" w:line="240" w:lineRule="auto"/>
      <w:snapToGrid w:val="0"/>
    </w:pPr>
    <w:rPr>
      <w:rFonts w:ascii="Courier New" w:hAnsi="Courier New" w:eastAsia="Courier New" w:cs="Courier New"/>
      <w:b w:val="0"/>
      <w:sz w:val="16"/>
      <w:noProof/>
    </w:rPr>
  </w:style>
  <w:style w:type="paragraph" w:customStyle="1" w:styleId="ListingHeader">
    <w:name w:val="ListingHeader"/>
    <w:basedOn w:val="Listing"/>
    <w:pPr>
      <w:keepNext/>
      <w:widowControl w:val="0"/>
      <w:spacing w:before="0" w:after="0" w:line="240" w:lineRule="auto"/>
      <w:snapToGrid w:val="0"/>
      <w:pBdr>
        <w:bottom w:val="single" w:sz="4" w:space="0" w:color="000000"/>
      </w:pBdr>
    </w:pPr>
    <w:rPr>
      <w:rFonts w:ascii="Courier New" w:hAnsi="Courier New" w:eastAsia="Courier New" w:cs="Courier New"/>
      <w:b w:val="0"/>
      <w:sz w:val="16"/>
      <w:noProof/>
    </w:rPr>
  </w:style>
  <w:style w:type="paragraph" w:customStyle="1" w:styleId="TocHeading">
    <w:name w:val="TocHeading"/>
    <w:basedOn w:val="Normal"/>
    <w:pPr>
      <w:keepNext/>
      <w:spacing w:after="120"/>
    </w:pPr>
    <w:rPr>
      <w:b/>
      <w:sz w:val="24"/>
    </w:rPr>
  </w:style>
  <w:style w:type="paragraph" w:customStyle="1" w:styleId="DocCode">
    <w:name w:val="DocCode"/>
    <w:basedOn w:val="Listing"/>
    <w:pPr>
      <w:ind w:left="340"/>
    </w:pPr>
    <w:rPr>
      <w:sz w:val="17"/>
    </w:rPr>
  </w:style>
  <w:style w:type="paragraph" w:customStyle="1" w:styleId="DocNote">
    <w:name w:val="DocNote"/>
    <w:basedOn w:val="Normal"/>
    <w:pPr>
      <w:spacing w:after="120"/>
      <w:ind w:left="340"/>
    </w:pPr>
    <w:rPr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комплекс «Айтечество». Процессы жизненного цикла</dc:title>
  <dc:subject>Версия 0.2.0 (редакция RU)</dc:subject>
  <dc:creator/>
  <cp:keywords/>
  <dc:description/>
  <cp:lastModifiedBy/>
  <cp:revision>1</cp:revision>
  <dcterms:created xsi:type="dcterms:W3CDTF">2026-10-27T15:08:29Z</dcterms:created>
  <dcterms:modified xsi:type="dcterms:W3CDTF">2026-10-27T15:08:29Z</dcterms:modified>
  <cp:category/>
  <dc:language>ru-RU</dc:language>
</cp:coreProperties>
</file>