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360"/>
        <w:jc w:val="center"/>
      </w:pPr>
      <w:r>
        <w:rPr>
          <w:b/>
          <w:sz w:val="32"/>
        </w:rPr>
        <w:t>Программный комплекс «Айтечество»</w:t>
      </w:r>
    </w:p>
    <w:p>
      <w:pPr>
        <w:spacing w:before="0" w:after="80"/>
        <w:jc w:val="center"/>
      </w:pPr>
      <w:r>
        <w:rPr>
          <w:b/>
          <w:sz w:val="40"/>
        </w:rPr>
        <w:t>Руководство пользователя</w:t>
      </w:r>
    </w:p>
    <w:p>
      <w:pPr>
        <w:spacing w:before="0" w:after="80"/>
        <w:jc w:val="center"/>
      </w:pPr>
      <w:r>
        <w:rPr>
          <w:b/>
          <w:sz w:val="28"/>
        </w:rPr>
        <w:t>(веб-консоль)</w:t>
      </w:r>
    </w:p>
    <w:p>
      <w:pPr>
        <w:spacing w:before="480" w:after="0"/>
        <w:jc w:val="center"/>
      </w:pPr>
      <w:r>
        <w:rPr>
          <w:b w:val="0"/>
          <w:sz w:val="24"/>
        </w:rPr>
        <w:t>Правообладатель:</w:t>
      </w:r>
    </w:p>
    <w:p>
      <w:pPr>
        <w:spacing w:before="0" w:after="80"/>
        <w:jc w:val="center"/>
      </w:pPr>
      <w:r>
        <w:rPr>
          <w:b w:val="0"/>
          <w:sz w:val="24"/>
        </w:rPr>
        <w:t>Индивидуальный предприниматель Орлова Юлия Витальевна</w:t>
      </w:r>
    </w:p>
    <w:p>
      <w:pPr>
        <w:spacing w:before="0" w:after="360"/>
        <w:jc w:val="center"/>
      </w:pPr>
      <w:r>
        <w:rPr>
          <w:b w:val="0"/>
          <w:sz w:val="24"/>
        </w:rPr>
        <w:t>Версия 0.2.0 (редакция RU)</w:t>
      </w:r>
    </w:p>
    <w:tbl>
      <w:tblPr>
        <w:tblStyle w:val="TableGrid"/>
        <w:tblW w:type="auto" w:w="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2948"/>
        <w:gridCol w:w="6406"/>
      </w:tblGrid>
      <w:tr>
        <w:tc>
          <w:tcPr>
            <w:tcW w:type="dxa" w:w="2948"/>
          </w:tcPr>
          <w:p>
            <w:r>
              <w:rPr>
                <w:sz w:val="20"/>
              </w:rPr>
              <w:t>Дата</w:t>
            </w:r>
          </w:p>
        </w:tc>
        <w:tc>
          <w:tcPr>
            <w:tcW w:type="dxa" w:w="6406"/>
          </w:tcPr>
          <w:p>
            <w:r>
              <w:rPr>
                <w:sz w:val="20"/>
              </w:rPr>
              <w:t>27.10.2026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Коммит исходного кода (git)</w:t>
            </w:r>
          </w:p>
        </w:tc>
        <w:tc>
          <w:tcPr>
            <w:tcW w:type="dxa" w:w="6406"/>
          </w:tcPr>
          <w:p>
            <w:r>
              <w:rPr>
                <w:rFonts w:ascii="Courier New" w:hAnsi="Courier New"/>
                <w:sz w:val="15"/>
              </w:rPr>
              <w:t>8bd0d1297cddc6e0456c7b6627d524fee42062c4</w:t>
            </w:r>
          </w:p>
        </w:tc>
      </w:tr>
    </w:tbl>
    <w:p>
      <w:pPr>
        <w:spacing w:before="200" w:after="0"/>
        <w:jc w:val="center"/>
      </w:pPr>
      <w:r>
        <w:rPr>
          <w:b w:val="0"/>
          <w:sz w:val="12"/>
        </w:rPr>
      </w:r>
    </w:p>
    <w:p>
      <w:pPr>
        <w:pStyle w:val="TocHeading"/>
        <w:pageBreakBefore/>
      </w:pPr>
      <w:r>
        <w:t>Содержание</w:t>
      </w:r>
    </w:p>
    <w:p>
      <w:pPr>
        <w:spacing w:after="20"/>
        <w:ind w:left="0"/>
      </w:pPr>
      <w:r>
        <w:rPr>
          <w:b w:val="0"/>
          <w:sz w:val="22"/>
        </w:rPr>
        <w:t>1. Введение</w:t>
      </w:r>
    </w:p>
    <w:p>
      <w:pPr>
        <w:spacing w:after="20"/>
        <w:ind w:left="340"/>
      </w:pPr>
      <w:r>
        <w:rPr>
          <w:b w:val="0"/>
          <w:sz w:val="20"/>
        </w:rPr>
        <w:t>1.1. Назначение</w:t>
      </w:r>
    </w:p>
    <w:p>
      <w:pPr>
        <w:spacing w:after="20"/>
        <w:ind w:left="340"/>
      </w:pPr>
      <w:r>
        <w:rPr>
          <w:b w:val="0"/>
          <w:sz w:val="20"/>
        </w:rPr>
        <w:t>1.2. Что делает программный комплекс</w:t>
      </w:r>
    </w:p>
    <w:p>
      <w:pPr>
        <w:spacing w:after="20"/>
        <w:ind w:left="340"/>
      </w:pPr>
      <w:r>
        <w:rPr>
          <w:b w:val="0"/>
          <w:sz w:val="20"/>
        </w:rPr>
        <w:t>1.3. Роли</w:t>
      </w:r>
    </w:p>
    <w:p>
      <w:pPr>
        <w:spacing w:after="20"/>
        <w:ind w:left="340"/>
      </w:pPr>
      <w:r>
        <w:rPr>
          <w:b w:val="0"/>
          <w:sz w:val="20"/>
        </w:rPr>
        <w:t>1.4. Требования</w:t>
      </w:r>
    </w:p>
    <w:p>
      <w:pPr>
        <w:spacing w:after="20"/>
        <w:ind w:left="0"/>
      </w:pPr>
      <w:r>
        <w:rPr>
          <w:b w:val="0"/>
          <w:sz w:val="22"/>
        </w:rPr>
        <w:t>2. Начало работы</w:t>
      </w:r>
    </w:p>
    <w:p>
      <w:pPr>
        <w:spacing w:after="20"/>
        <w:ind w:left="340"/>
      </w:pPr>
      <w:r>
        <w:rPr>
          <w:b w:val="0"/>
          <w:sz w:val="20"/>
        </w:rPr>
        <w:t>2.1. Регистрация</w:t>
      </w:r>
    </w:p>
    <w:p>
      <w:pPr>
        <w:spacing w:after="20"/>
        <w:ind w:left="340"/>
      </w:pPr>
      <w:r>
        <w:rPr>
          <w:b w:val="0"/>
          <w:sz w:val="20"/>
        </w:rPr>
        <w:t>2.2. Вход и восстановление пароля</w:t>
      </w:r>
    </w:p>
    <w:p>
      <w:pPr>
        <w:spacing w:after="20"/>
        <w:ind w:left="340"/>
      </w:pPr>
      <w:r>
        <w:rPr>
          <w:b w:val="0"/>
          <w:sz w:val="20"/>
        </w:rPr>
        <w:t>2.3. Интерфейс консоли</w:t>
      </w:r>
    </w:p>
    <w:p>
      <w:pPr>
        <w:spacing w:after="20"/>
        <w:ind w:left="0"/>
      </w:pPr>
      <w:r>
        <w:rPr>
          <w:b w:val="0"/>
          <w:sz w:val="22"/>
        </w:rPr>
        <w:t>3. Обзор</w:t>
      </w:r>
    </w:p>
    <w:p>
      <w:pPr>
        <w:spacing w:after="20"/>
        <w:ind w:left="0"/>
      </w:pPr>
      <w:r>
        <w:rPr>
          <w:b w:val="0"/>
          <w:sz w:val="22"/>
        </w:rPr>
        <w:t>4. Чат</w:t>
      </w:r>
    </w:p>
    <w:p>
      <w:pPr>
        <w:spacing w:after="20"/>
        <w:ind w:left="0"/>
      </w:pPr>
      <w:r>
        <w:rPr>
          <w:b w:val="0"/>
          <w:sz w:val="22"/>
        </w:rPr>
        <w:t>5. Песочница</w:t>
      </w:r>
    </w:p>
    <w:p>
      <w:pPr>
        <w:spacing w:after="20"/>
        <w:ind w:left="0"/>
      </w:pPr>
      <w:r>
        <w:rPr>
          <w:b w:val="0"/>
          <w:sz w:val="22"/>
        </w:rPr>
        <w:t>6. API-ключи и подключение приложений</w:t>
      </w:r>
    </w:p>
    <w:p>
      <w:pPr>
        <w:spacing w:after="20"/>
        <w:ind w:left="340"/>
      </w:pPr>
      <w:r>
        <w:rPr>
          <w:b w:val="0"/>
          <w:sz w:val="20"/>
        </w:rPr>
        <w:t>6.1. Создание ключа</w:t>
      </w:r>
    </w:p>
    <w:p>
      <w:pPr>
        <w:spacing w:after="20"/>
        <w:ind w:left="340"/>
      </w:pPr>
      <w:r>
        <w:rPr>
          <w:b w:val="0"/>
          <w:sz w:val="20"/>
        </w:rPr>
        <w:t>6.2. Подключение приложения</w:t>
      </w:r>
    </w:p>
    <w:p>
      <w:pPr>
        <w:spacing w:after="20"/>
        <w:ind w:left="0"/>
      </w:pPr>
      <w:r>
        <w:rPr>
          <w:b w:val="0"/>
          <w:sz w:val="22"/>
        </w:rPr>
        <w:t>7. Журнал запросов</w:t>
      </w:r>
    </w:p>
    <w:p>
      <w:pPr>
        <w:spacing w:after="20"/>
        <w:ind w:left="0"/>
      </w:pPr>
      <w:r>
        <w:rPr>
          <w:b w:val="0"/>
          <w:sz w:val="22"/>
        </w:rPr>
        <w:t>8. Расследования</w:t>
      </w:r>
    </w:p>
    <w:p>
      <w:pPr>
        <w:spacing w:after="20"/>
        <w:ind w:left="0"/>
      </w:pPr>
      <w:r>
        <w:rPr>
          <w:b w:val="0"/>
          <w:sz w:val="22"/>
        </w:rPr>
        <w:t>9. Политики</w:t>
      </w:r>
    </w:p>
    <w:p>
      <w:pPr>
        <w:spacing w:after="20"/>
        <w:ind w:left="340"/>
      </w:pPr>
      <w:r>
        <w:rPr>
          <w:b w:val="0"/>
          <w:sz w:val="20"/>
        </w:rPr>
        <w:t>9.1. Действующие правила обработки</w:t>
      </w:r>
    </w:p>
    <w:p>
      <w:pPr>
        <w:spacing w:after="20"/>
        <w:ind w:left="340"/>
      </w:pPr>
      <w:r>
        <w:rPr>
          <w:b w:val="0"/>
          <w:sz w:val="20"/>
        </w:rPr>
        <w:t>9.2. Создание и изменение политики</w:t>
      </w:r>
    </w:p>
    <w:p>
      <w:pPr>
        <w:spacing w:after="20"/>
        <w:ind w:left="0"/>
      </w:pPr>
      <w:r>
        <w:rPr>
          <w:b w:val="0"/>
          <w:sz w:val="22"/>
        </w:rPr>
        <w:t>10. Аудит</w:t>
      </w:r>
    </w:p>
    <w:p>
      <w:pPr>
        <w:spacing w:after="20"/>
        <w:ind w:left="0"/>
      </w:pPr>
      <w:r>
        <w:rPr>
          <w:b w:val="0"/>
          <w:sz w:val="22"/>
        </w:rPr>
        <w:t>11. Оповещения и вебхуки</w:t>
      </w:r>
    </w:p>
    <w:p>
      <w:pPr>
        <w:spacing w:after="20"/>
        <w:ind w:left="0"/>
      </w:pPr>
      <w:r>
        <w:rPr>
          <w:b w:val="0"/>
          <w:sz w:val="22"/>
        </w:rPr>
        <w:t>12. Участники и группы</w:t>
      </w:r>
    </w:p>
    <w:p>
      <w:pPr>
        <w:spacing w:after="20"/>
        <w:ind w:left="0"/>
      </w:pPr>
      <w:r>
        <w:rPr>
          <w:b w:val="0"/>
          <w:sz w:val="22"/>
        </w:rPr>
        <w:t>13. Провайдеры и модели</w:t>
      </w:r>
    </w:p>
    <w:p>
      <w:pPr>
        <w:spacing w:after="20"/>
        <w:ind w:left="340"/>
      </w:pPr>
      <w:r>
        <w:rPr>
          <w:b w:val="0"/>
          <w:sz w:val="20"/>
        </w:rPr>
        <w:t>13.1. Модели платформы</w:t>
      </w:r>
    </w:p>
    <w:p>
      <w:pPr>
        <w:spacing w:after="20"/>
        <w:ind w:left="340"/>
      </w:pPr>
      <w:r>
        <w:rPr>
          <w:b w:val="0"/>
          <w:sz w:val="20"/>
        </w:rPr>
        <w:t>13.2. Собственный провайдер</w:t>
      </w:r>
    </w:p>
    <w:p>
      <w:pPr>
        <w:spacing w:after="20"/>
        <w:ind w:left="340"/>
      </w:pPr>
      <w:r>
        <w:rPr>
          <w:b w:val="0"/>
          <w:sz w:val="20"/>
        </w:rPr>
        <w:t>13.3. Маршруты моделей</w:t>
      </w:r>
    </w:p>
    <w:p>
      <w:pPr>
        <w:spacing w:after="20"/>
        <w:ind w:left="0"/>
      </w:pPr>
      <w:r>
        <w:rPr>
          <w:b w:val="0"/>
          <w:sz w:val="22"/>
        </w:rPr>
        <w:t>14. Оплата</w:t>
      </w:r>
    </w:p>
    <w:p>
      <w:pPr>
        <w:spacing w:after="20"/>
        <w:ind w:left="0"/>
      </w:pPr>
      <w:r>
        <w:rPr>
          <w:b w:val="0"/>
          <w:sz w:val="22"/>
        </w:rPr>
        <w:t>15. Настройки</w:t>
      </w:r>
    </w:p>
    <w:p>
      <w:pPr>
        <w:spacing w:after="20"/>
        <w:ind w:left="0"/>
      </w:pPr>
      <w:r>
        <w:rPr>
          <w:b w:val="0"/>
          <w:sz w:val="22"/>
        </w:rPr>
        <w:t>16. Типичные сообщения</w:t>
      </w:r>
    </w:p>
    <w:p>
      <w:pPr>
        <w:pStyle w:val="Heading1"/>
        <w:pageBreakBefore/>
      </w:pPr>
      <w:r>
        <w:rPr>
          <w:b w:val="0"/>
          <w:sz w:val="28"/>
        </w:rPr>
        <w:t>1. Введение</w:t>
      </w:r>
    </w:p>
    <w:p>
      <w:pPr>
        <w:pStyle w:val="Heading2"/>
      </w:pPr>
      <w:r>
        <w:rPr>
          <w:b w:val="0"/>
          <w:sz w:val="24"/>
        </w:rPr>
        <w:t>1.1. Назначение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Руководство описывает работу пользователей в веб-консоли программного комплекса «Айтечество» (далее — консоль): регистрацию и вход, работу с моделями в чате, подключение приложений, настройку политик обработки данных, просмотр журнала запросов, управление участниками, подключениями к моделям и оплатой. Установка и администрирование инсталляции описаны в документе «Информация, необходимая для установки и эксплуатации». Руководство входит в состав документации, содержащей информацию, необходимую для эксплуатации программного комплекса (подпункт «д» пункта 11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— членов Евразийского экономического союза, за исключением Российской Федерации, утверждённых постановлением Правительства Российской Федерации от 16.11.2015 № 1236 (в редакции от 13.08.2026)).</w:t>
      </w:r>
    </w:p>
    <w:p>
      <w:pPr>
        <w:pStyle w:val="Heading2"/>
      </w:pPr>
      <w:r>
        <w:rPr>
          <w:b w:val="0"/>
          <w:sz w:val="24"/>
        </w:rPr>
        <w:t>1.2. Что делает программный комплекс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Сотрудники и приложения организации обращаются к языковым моделям не напрямую, а через шлюз программного комплекса. Шлюз находит в запросе персональные и другие чувствительные данные и по политике организации заменяет их условными обозначениями (например, «Иванов Пётр» → [ФИО_1]), блокирует запрос или пропускает данные без изменений. Модель получает только замаскированный текст, а в её ответе шлюз подставляет исходные значения обратно. Содержимое запросов и ответов не сохраняется: журнал содержит только сведения о том, что и как было обработано.</w:t>
      </w:r>
    </w:p>
    <w:p>
      <w:pPr>
        <w:pStyle w:val="Heading2"/>
      </w:pPr>
      <w:r>
        <w:rPr>
          <w:b w:val="0"/>
          <w:sz w:val="24"/>
        </w:rPr>
        <w:t>1.3. Роли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984"/>
        <w:gridCol w:w="7370"/>
      </w:tblGrid>
      <w:tr>
        <w:trPr>
          <w:tblHeader/>
          <w:cantSplit/>
        </w:trPr>
        <w:tc>
          <w:tcPr>
            <w:tcW w:type="dxa" w:w="1984"/>
          </w:tcPr>
          <w:p>
            <w:r>
              <w:rPr>
                <w:b/>
                <w:sz w:val="19"/>
              </w:rPr>
              <w:t>Роль</w:t>
            </w:r>
          </w:p>
        </w:tc>
        <w:tc>
          <w:tcPr>
            <w:tcW w:type="dxa" w:w="7370"/>
          </w:tcPr>
          <w:p>
            <w:r>
              <w:rPr>
                <w:b/>
                <w:sz w:val="19"/>
              </w:rPr>
              <w:t>Возможности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Владелец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Все действия, в том числе оплата подписки, удаление организации, передача прав владельца, назначение администраторов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Администратор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Всё, кроме оплаты подписки, удаления организации и передачи прав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ИБ-офицер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Политики, оповещения, вебхуки, аудит и расследования; просмотр провайдеров и моделей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Аудитор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Только просмотр: аудит, аналитика, политики, журнал запросов организации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Сотрудник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Чат, свои API-ключи и свои запросы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Набор разделов консоли зависит от роли и тарифа организации.</w:t>
      </w:r>
    </w:p>
    <w:p>
      <w:pPr>
        <w:pStyle w:val="Heading2"/>
      </w:pPr>
      <w:r>
        <w:rPr>
          <w:b w:val="0"/>
          <w:sz w:val="24"/>
        </w:rPr>
        <w:t>1.4. Требования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Для работы нужен компьютер с современным веб-браузером с включёнными JavaScript и cookie и доступом к адресу консоли организации (например, https://ai.example.ru). Для двухфакторной аутентификации нужно приложение- аутентификатор на телефоне (например, Яндекс Ключ).</w:t>
      </w:r>
    </w:p>
    <w:p>
      <w:pPr>
        <w:pStyle w:val="Heading1"/>
      </w:pPr>
      <w:r>
        <w:rPr>
          <w:b w:val="0"/>
          <w:sz w:val="28"/>
        </w:rPr>
        <w:t>2. Начало работы</w:t>
      </w:r>
    </w:p>
    <w:p>
      <w:pPr>
        <w:pStyle w:val="Heading2"/>
      </w:pPr>
      <w:r>
        <w:rPr>
          <w:b w:val="0"/>
          <w:sz w:val="24"/>
        </w:rPr>
        <w:t>2.1. Регистрация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Откройте страницу «Регистрация» и на шаге «Аккаунт» укажите адрес электронной почты и пароль.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На шаге «Компания» укажите название компании и страну регистрации компании.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Отметьте согласие на обработку персональных данных и принятие пользовательского соглашения и нажмите «Создать аккаунт».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Откройте письмо и перейдите по ссылке подтверждения (ссылка действует 48 часов). После подтверждения войдите в консоль. Новой организации предоставляется пробный период.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Если вас пригласили в существующую организацию, перейдите по ссылке из письма-приглашения (действует 7 дней) и выберите «Принять приглашение» или «Создать аккаунт и присоединиться».</w:t>
      </w:r>
    </w:p>
    <w:p>
      <w:pPr>
        <w:pStyle w:val="Heading2"/>
      </w:pPr>
      <w:r>
        <w:rPr>
          <w:b w:val="0"/>
          <w:sz w:val="24"/>
        </w:rPr>
        <w:t>2.2. Вход и восстановление пароля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Откройте страницу «Вход в консоль», введите адрес электронной почты и пароль. Если включена двухфакторная аутентификация, введите код из приложения-аутентификатора или нажмите «Использовать резервный код». После пяти неверных кодов вход с кодом блокируется на 15 минут.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Если вы забыли пароль, на странице входа перейдите к восстановлению пароля и укажите адрес электронной почты: придёт ссылка для установки нового пароля (действует 1 час).</w:t>
      </w:r>
    </w:p>
    <w:p>
      <w:pPr>
        <w:pStyle w:val="Heading2"/>
      </w:pPr>
      <w:r>
        <w:rPr>
          <w:b w:val="0"/>
          <w:sz w:val="24"/>
        </w:rPr>
        <w:t>2.3. Интерфейс консоли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Слева расположено меню разделов, сгруппированных в блоки «Работа», «Контроль и безопасность», «Организация» и (для администраторов платформы) «Платформа». В меню пользователя доступны «Настройки аккаунта», «Безопасность и 152-ФЗ» и «Выйти». Интерфейс консоли реализован на русском языке; язык интерфейса (русский или английский) выбирается переключателем языка и в настройках профиля. Если вы состоите в нескольких организациях, переключайтесь между ними через «Сменить организацию»; там же можно «Создать организацию».</w:t>
      </w:r>
    </w:p>
    <w:p>
      <w:pPr>
        <w:pStyle w:val="Heading1"/>
      </w:pPr>
      <w:r>
        <w:rPr>
          <w:b w:val="0"/>
          <w:sz w:val="28"/>
        </w:rPr>
        <w:t>3. Обзор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Раздел «Обзор» открывается после входа. Блок «С чего начать» показывает шаги подключения организации: «Создайте свой API-ключ», «Подключите модель», «Примите условия моделей платформы», «Отправьте первый запрос», «Попробуйте чат». Блок «Ваши последние 7 дней» показывает число ваших запросов, замаскированных, с предупреждениями и заблокированных. Блок «Подключите приложение» содержит адрес шлюза и пример подключения.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Администраторам, ИБ-офицерам и аудиторам доступен блок «Активность организации»: запросы, доля запросов с чувствительными данными, заблокированные запросы, токены, стоимость моделей платформы, активные пользователи, график «Запросы по дням», перечень «Что найдено» по категориям и статистика по моделям. Нажатие на категорию открывает соответствующие записи журнала запросов.</w:t>
      </w:r>
    </w:p>
    <w:p>
      <w:pPr>
        <w:pStyle w:val="Heading1"/>
      </w:pPr>
      <w:r>
        <w:rPr>
          <w:b w:val="0"/>
          <w:sz w:val="28"/>
        </w:rPr>
        <w:t>4. Чат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Откройте раздел «Чат» и выберите модель в поле «Модель» (модели платформы отмечены словом «платформа»).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Введите сообщение и нажмите «Отправить» (Enter — отправить, Shift+Enter — новая строка). Во время ответа его можно остановить кнопкой «Остановить» и затем «Сгенерировать заново».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Чтобы посмотреть, что получила модель, нажмите «Что увидела модель» под сообщением: отображаются замаскированный текст и «Найденные данные». Доступность этой функции настраивает администратор.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Чтобы приложить документ, нажмите «Прикрепить файл». Текст документа извлекается и маскируется так же, как текст сообщения, сам файл модели не передаётся. Если политика организации разрешает передавать изображения или аудио без изменений, консоль предупреждает: «Вложения невозможно замаскировать: персональные данные в них уйдут провайдеру как есть.»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Если сообщение содержит данные, которые политика не разрешает отправлять, появляется сообщение «Запрос заблокирован» с причинами блокировки и идентификатором запроса; модели ничего не отправляется.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Диалоги хранятся только в вашем браузере, а не на серверах. Меню истории позволяет «Выгрузить историю (JSON)», «Загрузить историю…», удалить диалог или «Очистить всю историю».</w:t>
      </w:r>
    </w:p>
    <w:p>
      <w:pPr>
        <w:pStyle w:val="Heading1"/>
      </w:pPr>
      <w:r>
        <w:rPr>
          <w:b w:val="0"/>
          <w:sz w:val="28"/>
        </w:rPr>
        <w:t>5. Песочница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Раздел «Песочница» показывает работу маскирования без отправки модели. Введите текст и нажмите «Замаскировать»: рядом с исходным текстом отображается «Что получила бы модель». Блок «Восстановление» подставляет исходные значения в текст с условными обозначениями. Кнопка «Проверить с моделью» отправляет замаскированный текст модели. Запросы из песочницы учитываются в месячной квоте.</w:t>
      </w:r>
    </w:p>
    <w:p>
      <w:pPr>
        <w:pStyle w:val="Heading1"/>
      </w:pPr>
      <w:r>
        <w:rPr>
          <w:b w:val="0"/>
          <w:sz w:val="28"/>
        </w:rPr>
        <w:t>6. API-ключи и подключение приложений</w:t>
      </w:r>
    </w:p>
    <w:p>
      <w:pPr>
        <w:pStyle w:val="Heading2"/>
      </w:pPr>
      <w:r>
        <w:rPr>
          <w:b w:val="0"/>
          <w:sz w:val="24"/>
        </w:rPr>
        <w:t>6.1. Создание ключа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Откройте раздел «API-ключи» и нажмите «Создать ключ».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Укажите «Название» (например, «CRM-интеграция»). Для систем и интеграций отметьте «Сервисный ключ» (доступно администраторам): он не привязан к сотруднику. Личный ключ действует от вашего имени.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При необходимости укажите «Группа для политик», «Лимит запросов в минуту» (не больше лимита тарифа), «Срок действия» и «Доступные модели» (ничего не выбрано — доступны все модели организации).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Нажмите «Создать ключ» и скопируйте секрет: он показывается один раз и хранится в программном комплексе только в виде хеша. Храните ключ в менеджере секретов или переменных окружения.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Ключ отзывается кнопкой «Отозвать»: запросы с ним сразу перестают проходить через шлюз. Отменить отзыв нельзя — для восстановления доступа создайте новый ключ.</w:t>
      </w:r>
    </w:p>
    <w:p>
      <w:pPr>
        <w:pStyle w:val="Heading2"/>
      </w:pPr>
      <w:r>
        <w:rPr>
          <w:b w:val="0"/>
          <w:sz w:val="24"/>
        </w:rPr>
        <w:t>6.2. Подключение приложения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Шлюз поддерживает OpenAI-совместимый API: в приложении достаточно указать базовый адрес шлюза с путём /v1, ключ и псевдоним модели, доступной организации (перечень — в разделе «Провайдеры и модели» или по запросу GET /v1/models). Пример запроса:</w:t>
      </w:r>
    </w:p>
    <w:p>
      <w:pPr>
        <w:pStyle w:val="DocCode"/>
        <w:keepNext/>
        <w:spacing w:before="40"/>
      </w:pPr>
      <w:r>
        <w:rPr>
          <w:sz w:val="17"/>
        </w:rPr>
        <w:t>curl https://gw.example.ru/v1/chat/completions \</w:t>
      </w:r>
    </w:p>
    <w:p>
      <w:pPr>
        <w:pStyle w:val="DocCode"/>
        <w:keepNext/>
      </w:pPr>
      <w:r>
        <w:rPr>
          <w:sz w:val="17"/>
        </w:rPr>
        <w:t xml:space="preserve">  -H "Authorization: Bearer $AITECH_API_KEY" \</w:t>
      </w:r>
    </w:p>
    <w:p>
      <w:pPr>
        <w:pStyle w:val="DocCode"/>
        <w:keepNext/>
      </w:pPr>
      <w:r>
        <w:rPr>
          <w:sz w:val="17"/>
        </w:rPr>
        <w:t xml:space="preserve">  -H "Content-Type: application/json" \</w:t>
      </w:r>
    </w:p>
    <w:p>
      <w:pPr>
        <w:pStyle w:val="DocCode"/>
        <w:keepNext/>
      </w:pPr>
      <w:r>
        <w:rPr>
          <w:sz w:val="17"/>
        </w:rPr>
        <w:t xml:space="preserve">  -d '{"model": "yandexgpt",</w:t>
      </w:r>
    </w:p>
    <w:p>
      <w:pPr>
        <w:pStyle w:val="DocCode"/>
        <w:keepNext/>
      </w:pPr>
      <w:r>
        <w:rPr>
          <w:sz w:val="17"/>
        </w:rPr>
        <w:t xml:space="preserve">       "messages": [{"role": "user",</w:t>
      </w:r>
    </w:p>
    <w:p>
      <w:pPr>
        <w:pStyle w:val="DocCode"/>
        <w:keepNext w:val="0"/>
        <w:spacing w:after="120"/>
      </w:pPr>
      <w:r>
        <w:rPr>
          <w:sz w:val="17"/>
        </w:rPr>
        <w:t xml:space="preserve">                     "content": "Составь письмо для Иванова П. С."}]}'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Для потокового ответа добавьте в запрос "stream": true. Ошибки возвращаются с понятным сообщением, например «Неверный или отозванный API-ключ.», «Запрос заблокирован политикой защиты данных.», «Слишком много запросов, повторите позже.», «Исчерпана месячная квота запросов.».</w:t>
      </w:r>
    </w:p>
    <w:p>
      <w:pPr>
        <w:pStyle w:val="Heading1"/>
      </w:pPr>
      <w:r>
        <w:rPr>
          <w:b w:val="0"/>
          <w:sz w:val="28"/>
        </w:rPr>
        <w:t>7. Журнал запросов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Раздел «Журнал запросов» содержит записи о каждом запросе через шлюз: время, источник, модель, пользователь или ключ, решение шлюза, найденные категории данных и применённые действия. Содержимое запросов в журнале нет. Сотрудник видит свои запросы, администраторы, ИБ-офицеры и аудиторы — запросы всей организации.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Используйте фильтры «Решение», «Категория», «Источник», «Модель», «Пользователь», «API-ключ». Нажмите на запись, чтобы открыть подробности. Кнопка «Выгрузить» сохраняет отобранные записи в формате «CSV (таблица)» или «JSONL (SIEM, скрипты)». Срок хранения журнала задаётся в разделе «Настройки».</w:t>
      </w:r>
    </w:p>
    <w:p>
      <w:pPr>
        <w:pStyle w:val="Heading1"/>
      </w:pPr>
      <w:r>
        <w:rPr>
          <w:b w:val="0"/>
          <w:sz w:val="28"/>
        </w:rPr>
        <w:t>8. Расследования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Раздел «Расследования» (ИБ-офицеры и администраторы, если функция входит в тариф) позволяет выполнить «Поиск по значению»: введите значение (например, номер паспорта), и консоль покажет запросы, в которых оно встречалось. Значения в журнале хранятся только в виде необратимых ключевых хешей; их сохранение включается параметром «Отпечатки для расследований» в разделе «Настройки».</w:t>
      </w:r>
    </w:p>
    <w:p>
      <w:pPr>
        <w:pStyle w:val="Heading1"/>
      </w:pPr>
      <w:r>
        <w:rPr>
          <w:b w:val="0"/>
          <w:sz w:val="28"/>
        </w:rPr>
        <w:t>9. Политики</w:t>
      </w:r>
    </w:p>
    <w:p>
      <w:pPr>
        <w:pStyle w:val="Heading2"/>
      </w:pPr>
      <w:r>
        <w:rPr>
          <w:b w:val="0"/>
          <w:sz w:val="24"/>
        </w:rPr>
        <w:t>9.1. Действующие правила обработки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Раздел «Политики» показывает перечень политик организации и блок «Ваша защита сейчас» — итоговые действия по категориям с учётом всех применимых политик.</w:t>
      </w:r>
    </w:p>
    <w:p>
      <w:pPr>
        <w:pStyle w:val="Heading2"/>
      </w:pPr>
      <w:r>
        <w:rPr>
          <w:b w:val="0"/>
          <w:sz w:val="24"/>
        </w:rPr>
        <w:t>9.2. Создание и изменение политики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Нажмите «Новая политика» и выберите шаблон или начните с пустой политики.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На вкладке «Общее» укажите «Название» и в блоке «Кому применяется» — вся организация или выбранные группы, участники и API-ключи (политика по умолчанию всегда действует для всех); при необходимости задайте «Период действия».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На вкладке «Категории» выберите действие для каждой категории данных: пропустить, предупредить, обобщить, псевдонимизировать или блокировать.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На вкладках «Белый список», «Стоп-список», «Шаблоны» и «Словари» задайте значения, которые не нужно маскировать, запрещённые слова и собственные правила обнаружения.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5.</w:t>
        <w:tab/>
        <w:t>На вкладке «Настройки» задайте обработку вложений, поведение при недоступности распознавания имён и другие параметры.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6.</w:t>
        <w:tab/>
        <w:t>В блоке «Проверка» введите «Пример текста»: проверка запускается автоматически после каждого изменения и показывает найденные данные, что получит модель и был бы ли запрос заблокирован. Сохраните политику. Изменения применяются к новым запросам в течение нескольких секунд.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Если к запросу применяется несколько политик, по каждой категории действует самое строгое действие. На вкладке «Версии» можно сравнить версии политики и восстановить предыдущую.</w:t>
      </w:r>
    </w:p>
    <w:p>
      <w:pPr>
        <w:pStyle w:val="Heading1"/>
      </w:pPr>
      <w:r>
        <w:rPr>
          <w:b w:val="0"/>
          <w:sz w:val="28"/>
        </w:rPr>
        <w:t>10. Аудит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Раздел «Аудит» показывает, кто и что менял в организации: политики, ключи, участников, подключения, настройки, выгрузки журнала.</w:t>
      </w:r>
    </w:p>
    <w:p>
      <w:pPr>
        <w:pStyle w:val="Heading1"/>
      </w:pPr>
      <w:r>
        <w:rPr>
          <w:b w:val="0"/>
          <w:sz w:val="28"/>
        </w:rPr>
        <w:t>11. Оповещения и вебхуки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На вкладке «Правила» раздела «Оповещения» нажмите «Создать правило», выберите событие (заблокированные, замаскированные или отмеченные предупреждением запросы), категории, порог за период, получателей (сотрудники, роли, вебхуки) и интервал между повторными оповещениями.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На вкладке «Вебхуки» нажмите «Добавить вебхук», укажите адрес HTTPS, формат (JSON или CEF) и события. Кнопка «Проверить» отправляет тестовое событие. Подпись запросов вебхука проверяется по секрету, показанному при создании.</w:t>
      </w:r>
    </w:p>
    <w:p>
      <w:pPr>
        <w:pStyle w:val="Heading1"/>
      </w:pPr>
      <w:r>
        <w:rPr>
          <w:b w:val="0"/>
          <w:sz w:val="28"/>
        </w:rPr>
        <w:t>12. Участники и группы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В разделе «Участники» на вкладке «Участники» отображаются сотрудники организации и их роли; администратор меняет роль или удаляет участника. На вкладке «Приглашения» нажмите «Пригласить», укажите адрес электронной почты и роль. Пригласить администратора может только владелец. Число участников ограничено местами тарифа.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На вкладке «Группы» создайте группы сотрудников: политики можно применять к группам. Владелец может передать права владельца другому участнику («Передать права владельца…»).</w:t>
      </w:r>
    </w:p>
    <w:p>
      <w:pPr>
        <w:pStyle w:val="Heading1"/>
      </w:pPr>
      <w:r>
        <w:rPr>
          <w:b w:val="0"/>
          <w:sz w:val="28"/>
        </w:rPr>
        <w:t>13. Провайдеры и модели</w:t>
      </w:r>
    </w:p>
    <w:p>
      <w:pPr>
        <w:pStyle w:val="Heading2"/>
      </w:pPr>
      <w:r>
        <w:rPr>
          <w:b w:val="0"/>
          <w:sz w:val="24"/>
        </w:rPr>
        <w:t>13.1. Модели платформы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Если тариф включает модели платформы, владелец или администратор знакомится с условиями их использования, отмечает согласие и нажимает «Включить платформенные модели». Использование оплачивается с баланса организации по ценам за миллион токенов. Отключить модели платформы можно кнопкой «Отключить».</w:t>
      </w:r>
    </w:p>
    <w:p>
      <w:pPr>
        <w:pStyle w:val="Heading2"/>
      </w:pPr>
      <w:r>
        <w:rPr>
          <w:b w:val="0"/>
          <w:sz w:val="24"/>
        </w:rPr>
        <w:t>13.2. Собственный провайдер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Нажмите «Подключить провайдера» и выберите провайдера: YandexGPT, GigaChat или OpenAI-совместимый API (модель, развёрнутая в вашей инфраструктуре).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Укажите «Название», при необходимости «Адрес API (base URL)», и учётные данные: для YandexGPT — API-ключ и идентификатор каталога, для GigaChat — ключ авторизации и область доступа, для OpenAI-совместимого API — адрес эндпоинта, ключ и дополнительные заголовки (до 10).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Для OpenAI-совместимого API подтвердите, что эндпоинт находится под контролем вашей организации или принадлежит провайдеру, законно обрабатывающему данные («Подтверждение для региона РФ»).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Нажмите «Подключить», затем «Проверить». Учётные данные хранятся в зашифрованном виде и не показываются повторно.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Адреса иностранных сервисов искусственного интеллекта подключить нельзя: консоль отклоняет такой адрес.</w:t>
      </w:r>
    </w:p>
    <w:p>
      <w:pPr>
        <w:pStyle w:val="Heading2"/>
      </w:pPr>
      <w:r>
        <w:rPr>
          <w:b w:val="0"/>
          <w:sz w:val="24"/>
        </w:rPr>
        <w:t>13.3. Маршруты моделей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Нажмите «Добавить маршрут» и укажите псевдоним (имя модели, которое приложения передают в поле model), подключение и модель провайдера. Маршрут организации с тем же псевдонимом, что у модели платформы, заменяет её для организации.</w:t>
      </w:r>
    </w:p>
    <w:p>
      <w:pPr>
        <w:pStyle w:val="Heading1"/>
      </w:pPr>
      <w:r>
        <w:rPr>
          <w:b w:val="0"/>
          <w:sz w:val="28"/>
        </w:rPr>
        <w:t>14. Оплата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Раздел «Оплата» доступен владельцу и администраторам. Здесь выбираются «Тарифы», пополняется «Баланс» (кнопка «Пополнить»), настраиваются «Способы оплаты» и просматривается «История» («Платежи», «Счета»). Оплата выполняется банковской картой, через СБП, SberPay или по счёту для юридического лица (счёт в PDF скачивается из истории). Для автопродления отметьте «Сохранить карту для автопродления». Владелец может «Отменить подписку» или «Возобновить подписку». При неоплаченной или истёкшей подписке консоль показывает предупреждение, а шлюз перестаёт принимать запросы.</w:t>
      </w:r>
    </w:p>
    <w:p>
      <w:pPr>
        <w:pStyle w:val="Heading1"/>
      </w:pPr>
      <w:r>
        <w:rPr>
          <w:b w:val="0"/>
          <w:sz w:val="28"/>
        </w:rPr>
        <w:t>15. Настройки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rPr>
          <w:tblHeader/>
          <w:cantSplit/>
        </w:trPr>
        <w:tc>
          <w:tcPr>
            <w:tcW w:type="dxa" w:w="2268"/>
          </w:tcPr>
          <w:p>
            <w:r>
              <w:rPr>
                <w:b/>
                <w:sz w:val="19"/>
              </w:rPr>
              <w:t>Вкладка</w:t>
            </w:r>
          </w:p>
        </w:tc>
        <w:tc>
          <w:tcPr>
            <w:tcW w:type="dxa" w:w="7087"/>
          </w:tcPr>
          <w:p>
            <w:r>
              <w:rPr>
                <w:b/>
                <w:sz w:val="19"/>
              </w:rPr>
              <w:t>Что настраивается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b w:val="0"/>
                <w:sz w:val="19"/>
              </w:rPr>
              <w:t>Организация</w:t>
            </w:r>
          </w:p>
        </w:tc>
        <w:tc>
          <w:tcPr>
            <w:tcW w:type="dxa" w:w="7087"/>
          </w:tcPr>
          <w:p>
            <w:r>
              <w:rPr>
                <w:b w:val="0"/>
                <w:sz w:val="19"/>
              </w:rPr>
              <w:t>«Профиль и реквизиты» (кнопка «Заполнить по ИНН» заполняет реквизиты автоматически); «Параметры шлюза» (изменяют владелец и администраторы): «Хранение журнала запросов, дней», «Отпечатки для расследований», «Веб-чат и песочница», «Что увидела модель» в чате, «Модель по умолчанию в чате», «Язык заглушек», «Псевдонимы в эмбеддингах», «Разрешённые IP-адреса»; «Удаление организации» (только владелец)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b w:val="0"/>
                <w:sz w:val="19"/>
              </w:rPr>
              <w:t>Безопасность</w:t>
            </w:r>
          </w:p>
        </w:tc>
        <w:tc>
          <w:tcPr>
            <w:tcW w:type="dxa" w:w="7087"/>
          </w:tcPr>
          <w:p>
            <w:r>
              <w:rPr>
                <w:b w:val="0"/>
                <w:sz w:val="19"/>
              </w:rPr>
              <w:t>«Двухфакторная аутентификация» (включение по QR-коду, резервные коды), «Активные сеансы» (завершение сеансов на других устройствах)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b w:val="0"/>
                <w:sz w:val="19"/>
              </w:rPr>
              <w:t>Аккаунт</w:t>
            </w:r>
          </w:p>
        </w:tc>
        <w:tc>
          <w:tcPr>
            <w:tcW w:type="dxa" w:w="7087"/>
          </w:tcPr>
          <w:p>
            <w:r>
              <w:rPr>
                <w:b w:val="0"/>
                <w:sz w:val="19"/>
              </w:rPr>
              <w:t>«Профиль» (имя, язык консоли и писем), «Пароль» (после смены пароля другие сеансы завершаются), «Мои данные (152-ФЗ)» — выгрузка персональных данных (до 10 рабочих дней) и удаление аккаунта (до 30 дней)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Уменьшение срока хранения журнала вступает в силу через 7 дней; владелец и ИБ-офицеры получают уведомление. После смены языка заглушек или режима псевдонимов в эмбеддингах векторные представления изменятся — переиндексируйте векторные базы.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В поле «Разрешённые IP-адреса» укажите по одному IP-адресу или подсети (CIDR, например 203.0.113.0/24) в строке, всего не более 100. Если перечень задан, шлюз принимает запросы только с этих адресов — и с API-ключами, и из консоли (чат, песочница, проверка политик); пустое поле — любые адреса. Прежде чем сохранить перечень, убедитесь, что в него входит и ваш собственный адрес. Параметры шлюза применяются к запросам в течение нескольких секунд. При удалении организации подписка отменяется, API-ключи и сохранённые карты отзываются, через 30 дней данные удаляются; платёжные документы хранятся 5 лет.</w:t>
      </w:r>
    </w:p>
    <w:p>
      <w:pPr>
        <w:pStyle w:val="Heading1"/>
      </w:pPr>
      <w:r>
        <w:rPr>
          <w:b w:val="0"/>
          <w:sz w:val="28"/>
        </w:rPr>
        <w:t>16. Типичные сообщения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4252"/>
        <w:gridCol w:w="5102"/>
      </w:tblGrid>
      <w:tr>
        <w:trPr>
          <w:tblHeader/>
          <w:cantSplit/>
        </w:trPr>
        <w:tc>
          <w:tcPr>
            <w:tcW w:type="dxa" w:w="4252"/>
          </w:tcPr>
          <w:p>
            <w:r>
              <w:rPr>
                <w:b/>
                <w:sz w:val="19"/>
              </w:rPr>
              <w:t>Сообщение</w:t>
            </w:r>
          </w:p>
        </w:tc>
        <w:tc>
          <w:tcPr>
            <w:tcW w:type="dxa" w:w="5102"/>
          </w:tcPr>
          <w:p>
            <w:r>
              <w:rPr>
                <w:b/>
                <w:sz w:val="19"/>
              </w:rPr>
              <w:t>Что делать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«Запрос заблокирован политикой защиты данных.»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Уберите из запроса данные, указанные в причинах блокировки, или обратитесь к ИБ-офицеру для изменения политики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«Неверный или отозванный API-ключ.»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Проверьте ключ; при необходимости создайте новый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«Модель недоступна для этого ключа или тарифа.»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Выберите модель из перечня доступных или измените ключ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«Слишком много запросов, повторите позже.»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Уменьшите частоту запросов или увеличьте лимит ключа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«Исчерпана месячная квота запросов.»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Дождитесь нового периода или смените тариф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«Недостаточно средств на балансе для платформенных моделей.»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Пополните баланс в разделе «Оплата»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«Подписка организации неактивна.»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Оплатите подписку в разделе «Оплата»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«Запросы с этого IP-адреса запрещены.»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Ваш адрес не входит в «Разрешённые IP-адреса» организации; обратитесь к владельцу или администратору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«Сервис распознавания имён недоступен, повторите позже.»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Повторите запрос; при повторении обратитесь в техническую поддержку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«Не удалось извлечь текст из вложенного документа.»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Проверьте, что документ не зашифрован и содержит текст, а не скан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first" r:id="rId9"/>
      <w:footerReference w:type="first" r:id="rId10"/>
      <w:headerReference w:type="default" r:id="rId11"/>
      <w:footerReference w:type="default" r:id="rId12"/>
      <w:pgSz w:w="11906" w:h="16838"/>
      <w:pgMar w:top="1134" w:right="1134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  <w:rPr>
        <w:sz w:val="16"/>
      </w:rPr>
    </w:pPr>
    <w:r>
      <w:rPr>
        <w:sz w:val="16"/>
      </w:rPr>
      <w:t xml:space="preserve">Страница </w:t>
    </w:r>
    <w:fldSimple w:instr=" PAGE \* Arabic ">
      <w:r>
        <w:rPr>
          <w:noProof/>
          <w:sz w:val="16"/>
        </w:rPr>
        <w:t>1</w:t>
      </w:r>
    </w:fldSimple>
    <w:r>
      <w:rPr>
        <w:sz w:val="16"/>
      </w:rPr>
      <w:t xml:space="preserve"> из </w:t>
    </w:r>
    <w:fldSimple w:instr=" NUMPAGES \* Arabic ">
      <w:r>
        <w:rPr>
          <w:noProof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1" w:color="000000"/>
      </w:pBdr>
      <w:jc w:val="center"/>
      <w:rPr>
        <w:sz w:val="16"/>
      </w:rPr>
    </w:pPr>
    <w:r>
      <w:rPr>
        <w:sz w:val="16"/>
      </w:rPr>
      <w:t xml:space="preserve">Программный комплекс «Айтечество». Руководство пользователя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hideGrammaticalErrors/>
  <w:hideSpellingError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pacing w:after="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40" w:lineRule="auto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="Times New Roman" w:hAnsi="Times New Roman" w:eastAsia="Times New Roman" w:cs="Times New Roman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ing">
    <w:name w:val="Listing"/>
    <w:basedOn w:val="Normal"/>
    <w:pPr>
      <w:widowControl w:val="0"/>
      <w:spacing w:before="0" w:after="0" w:line="240" w:lineRule="auto"/>
      <w:snapToGrid w:val="0"/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ListingHeader">
    <w:name w:val="ListingHeader"/>
    <w:basedOn w:val="Listing"/>
    <w:pPr>
      <w:keepNext/>
      <w:widowControl w:val="0"/>
      <w:spacing w:before="0" w:after="0" w:line="240" w:lineRule="auto"/>
      <w:snapToGrid w:val="0"/>
      <w:pBdr>
        <w:bottom w:val="single" w:sz="4" w:space="0" w:color="000000"/>
      </w:pBdr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TocHeading">
    <w:name w:val="TocHeading"/>
    <w:basedOn w:val="Normal"/>
    <w:pPr>
      <w:keepNext/>
      <w:spacing w:after="120"/>
    </w:pPr>
    <w:rPr>
      <w:b/>
      <w:sz w:val="24"/>
    </w:rPr>
  </w:style>
  <w:style w:type="paragraph" w:customStyle="1" w:styleId="DocCode">
    <w:name w:val="DocCode"/>
    <w:basedOn w:val="Listing"/>
    <w:pPr>
      <w:ind w:left="340"/>
    </w:pPr>
    <w:rPr>
      <w:sz w:val="17"/>
    </w:rPr>
  </w:style>
  <w:style w:type="paragraph" w:customStyle="1" w:styleId="DocNote">
    <w:name w:val="DocNote"/>
    <w:basedOn w:val="Normal"/>
    <w:pPr>
      <w:spacing w:after="120"/>
      <w:ind w:left="340"/>
    </w:pPr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комплекс «Айтечество». Руководство пользователя</dc:title>
  <dc:subject>Версия 0.2.0 (редакция RU)</dc:subject>
  <dc:creator/>
  <cp:keywords/>
  <dc:description/>
  <cp:lastModifiedBy/>
  <cp:revision>1</cp:revision>
  <dcterms:created xsi:type="dcterms:W3CDTF">2026-10-27T15:08:29Z</dcterms:created>
  <dcterms:modified xsi:type="dcterms:W3CDTF">2026-10-27T15:08:29Z</dcterms:modified>
  <cp:category/>
  <dc:language>ru-RU</dc:language>
</cp:coreProperties>
</file>