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360"/>
        <w:jc w:val="center"/>
      </w:pPr>
      <w:r>
        <w:rPr>
          <w:b/>
          <w:sz w:val="32"/>
        </w:rPr>
        <w:t>Программный комплекс «Айтечество»</w:t>
      </w:r>
    </w:p>
    <w:p>
      <w:pPr>
        <w:spacing w:before="0" w:after="80"/>
        <w:jc w:val="center"/>
      </w:pPr>
      <w:r>
        <w:rPr>
          <w:b/>
          <w:sz w:val="40"/>
        </w:rPr>
        <w:t>Описание технических средств</w:t>
      </w:r>
    </w:p>
    <w:p>
      <w:pPr>
        <w:spacing w:before="0" w:after="80"/>
        <w:jc w:val="center"/>
      </w:pPr>
      <w:r>
        <w:rPr>
          <w:b/>
          <w:sz w:val="28"/>
        </w:rPr>
        <w:t>хранения исходного текста и объектного кода</w:t>
      </w:r>
    </w:p>
    <w:p>
      <w:pPr>
        <w:spacing w:before="0" w:after="80"/>
        <w:jc w:val="center"/>
      </w:pPr>
      <w:r>
        <w:rPr>
          <w:b/>
          <w:sz w:val="28"/>
        </w:rPr>
        <w:t>и средств компиляции</w:t>
      </w:r>
    </w:p>
    <w:p>
      <w:pPr>
        <w:spacing w:before="480" w:after="0"/>
        <w:jc w:val="center"/>
      </w:pPr>
      <w:r>
        <w:rPr>
          <w:b w:val="0"/>
          <w:sz w:val="24"/>
        </w:rPr>
        <w:t>Правообладатель:</w:t>
      </w:r>
    </w:p>
    <w:p>
      <w:pPr>
        <w:spacing w:before="0" w:after="80"/>
        <w:jc w:val="center"/>
      </w:pPr>
      <w:r>
        <w:rPr>
          <w:b w:val="0"/>
          <w:sz w:val="24"/>
        </w:rPr>
        <w:t>Индивидуальный предприниматель Орлова Юлия Витальевна</w:t>
      </w:r>
    </w:p>
    <w:p>
      <w:pPr>
        <w:spacing w:before="0" w:after="360"/>
        <w:jc w:val="center"/>
      </w:pPr>
      <w:r>
        <w:rPr>
          <w:b w:val="0"/>
          <w:sz w:val="24"/>
        </w:rPr>
        <w:t>Версия 0.2.0 (редакция RU)</w:t>
      </w:r>
    </w:p>
    <w:tbl>
      <w:tblPr>
        <w:tblStyle w:val="TableGrid"/>
        <w:tblW w:type="auto" w:w="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2948"/>
        <w:gridCol w:w="6406"/>
      </w:tblGrid>
      <w:tr>
        <w:tc>
          <w:tcPr>
            <w:tcW w:type="dxa" w:w="2948"/>
          </w:tcPr>
          <w:p>
            <w:r>
              <w:rPr>
                <w:sz w:val="20"/>
              </w:rPr>
              <w:t>Дата</w:t>
            </w:r>
          </w:p>
        </w:tc>
        <w:tc>
          <w:tcPr>
            <w:tcW w:type="dxa" w:w="6406"/>
          </w:tcPr>
          <w:p>
            <w:r>
              <w:rPr>
                <w:sz w:val="20"/>
              </w:rPr>
              <w:t>27.10.2026</w:t>
            </w:r>
          </w:p>
        </w:tc>
      </w:tr>
      <w:tr>
        <w:tc>
          <w:tcPr>
            <w:tcW w:type="dxa" w:w="2948"/>
          </w:tcPr>
          <w:p>
            <w:r>
              <w:rPr>
                <w:sz w:val="20"/>
              </w:rPr>
              <w:t>Коммит исходного кода (git)</w:t>
            </w:r>
          </w:p>
        </w:tc>
        <w:tc>
          <w:tcPr>
            <w:tcW w:type="dxa" w:w="6406"/>
          </w:tcPr>
          <w:p>
            <w:r>
              <w:rPr>
                <w:rFonts w:ascii="Courier New" w:hAnsi="Courier New"/>
                <w:sz w:val="15"/>
              </w:rPr>
              <w:t>8bd0d1297cddc6e0456c7b6627d524fee42062c4</w:t>
            </w:r>
          </w:p>
        </w:tc>
      </w:tr>
    </w:tbl>
    <w:p>
      <w:pPr>
        <w:spacing w:before="200" w:after="0"/>
        <w:jc w:val="center"/>
      </w:pPr>
      <w:r>
        <w:rPr>
          <w:b w:val="0"/>
          <w:sz w:val="12"/>
        </w:rPr>
      </w:r>
    </w:p>
    <w:p>
      <w:pPr>
        <w:pStyle w:val="TocHeading"/>
        <w:pageBreakBefore/>
      </w:pPr>
      <w:r>
        <w:t>Содержание</w:t>
      </w:r>
    </w:p>
    <w:p>
      <w:pPr>
        <w:spacing w:after="20"/>
        <w:ind w:left="0"/>
      </w:pPr>
      <w:r>
        <w:rPr>
          <w:b w:val="0"/>
          <w:sz w:val="22"/>
        </w:rPr>
        <w:t xml:space="preserve">Условия подачи </w:t>
      </w:r>
      <w:r>
        <w:rPr>
          <w:b/>
          <w:sz w:val="22"/>
          <w:highlight w:val="yellow"/>
        </w:rPr>
        <w:t>[ЗАПОЛНИТЬ: удалить этот раздел, когда все условия выполнены]</w:t>
      </w:r>
    </w:p>
    <w:p>
      <w:pPr>
        <w:spacing w:after="20"/>
        <w:ind w:left="0"/>
      </w:pPr>
      <w:r>
        <w:rPr>
          <w:b w:val="0"/>
          <w:sz w:val="22"/>
        </w:rPr>
        <w:t>1. Общие сведения</w:t>
      </w:r>
    </w:p>
    <w:p>
      <w:pPr>
        <w:spacing w:after="20"/>
        <w:ind w:left="340"/>
      </w:pPr>
      <w:r>
        <w:rPr>
          <w:b w:val="0"/>
          <w:sz w:val="20"/>
        </w:rPr>
        <w:t>1.1. Назначение документа</w:t>
      </w:r>
    </w:p>
    <w:p>
      <w:pPr>
        <w:spacing w:after="20"/>
        <w:ind w:left="340"/>
      </w:pPr>
      <w:r>
        <w:rPr>
          <w:b w:val="0"/>
          <w:sz w:val="20"/>
        </w:rPr>
        <w:t>1.2. Сведения о программном обеспечении</w:t>
      </w:r>
    </w:p>
    <w:p>
      <w:pPr>
        <w:spacing w:after="20"/>
        <w:ind w:left="340"/>
      </w:pPr>
      <w:r>
        <w:rPr>
          <w:b w:val="0"/>
          <w:sz w:val="20"/>
        </w:rPr>
        <w:t>1.3. Состав исходного текста</w:t>
      </w:r>
    </w:p>
    <w:p>
      <w:pPr>
        <w:spacing w:after="20"/>
        <w:ind w:left="340"/>
      </w:pPr>
      <w:r>
        <w:rPr>
          <w:b w:val="0"/>
          <w:sz w:val="20"/>
        </w:rPr>
        <w:t>1.4. Схема размещения</w:t>
      </w:r>
    </w:p>
    <w:p>
      <w:pPr>
        <w:spacing w:after="20"/>
        <w:ind w:left="0"/>
      </w:pPr>
      <w:r>
        <w:rPr>
          <w:b w:val="0"/>
          <w:sz w:val="22"/>
        </w:rPr>
        <w:t>2. Средства хранения исходного текста</w:t>
      </w:r>
    </w:p>
    <w:p>
      <w:pPr>
        <w:spacing w:after="20"/>
        <w:ind w:left="340"/>
      </w:pPr>
      <w:r>
        <w:rPr>
          <w:b w:val="0"/>
          <w:sz w:val="20"/>
        </w:rPr>
        <w:t>2.1. Система хранения</w:t>
      </w:r>
    </w:p>
    <w:p>
      <w:pPr>
        <w:spacing w:after="20"/>
        <w:ind w:left="340"/>
      </w:pPr>
      <w:r>
        <w:rPr>
          <w:b w:val="0"/>
          <w:sz w:val="20"/>
        </w:rPr>
        <w:t>2.2. Порядок внесения изменений</w:t>
      </w:r>
    </w:p>
    <w:p>
      <w:pPr>
        <w:spacing w:after="20"/>
        <w:ind w:left="0"/>
      </w:pPr>
      <w:r>
        <w:rPr>
          <w:b w:val="0"/>
          <w:sz w:val="22"/>
        </w:rPr>
        <w:t>3. Средства хранения объектного кода</w:t>
      </w:r>
    </w:p>
    <w:p>
      <w:pPr>
        <w:spacing w:after="20"/>
        <w:ind w:left="340"/>
      </w:pPr>
      <w:r>
        <w:rPr>
          <w:b w:val="0"/>
          <w:sz w:val="20"/>
        </w:rPr>
        <w:t>3.1. Реестр образов</w:t>
      </w:r>
    </w:p>
    <w:p>
      <w:pPr>
        <w:spacing w:after="20"/>
        <w:ind w:left="340"/>
      </w:pPr>
      <w:r>
        <w:rPr>
          <w:b w:val="0"/>
          <w:sz w:val="20"/>
        </w:rPr>
        <w:t>3.2. Состав объектного кода</w:t>
      </w:r>
    </w:p>
    <w:p>
      <w:pPr>
        <w:spacing w:after="20"/>
        <w:ind w:left="0"/>
      </w:pPr>
      <w:r>
        <w:rPr>
          <w:b w:val="0"/>
          <w:sz w:val="22"/>
        </w:rPr>
        <w:t>4. Средства компиляции (сборки)</w:t>
      </w:r>
    </w:p>
    <w:p>
      <w:pPr>
        <w:spacing w:after="20"/>
        <w:ind w:left="340"/>
      </w:pPr>
      <w:r>
        <w:rPr>
          <w:b w:val="0"/>
          <w:sz w:val="20"/>
        </w:rPr>
        <w:t>4.1. Сборочная система</w:t>
      </w:r>
    </w:p>
    <w:p>
      <w:pPr>
        <w:spacing w:after="20"/>
        <w:ind w:left="340"/>
      </w:pPr>
      <w:r>
        <w:rPr>
          <w:b w:val="0"/>
          <w:sz w:val="20"/>
        </w:rPr>
        <w:t>4.2. Инструменты сборки</w:t>
      </w:r>
    </w:p>
    <w:p>
      <w:pPr>
        <w:spacing w:after="20"/>
        <w:ind w:left="340"/>
      </w:pPr>
      <w:r>
        <w:rPr>
          <w:b w:val="0"/>
          <w:sz w:val="20"/>
        </w:rPr>
        <w:t>4.3. Порядок сборки</w:t>
      </w:r>
    </w:p>
    <w:p>
      <w:pPr>
        <w:spacing w:after="20"/>
        <w:ind w:left="340"/>
      </w:pPr>
      <w:r>
        <w:rPr>
          <w:b w:val="0"/>
          <w:sz w:val="20"/>
        </w:rPr>
        <w:t>4.4. Развёртывание обновлений</w:t>
      </w:r>
    </w:p>
    <w:p>
      <w:pPr>
        <w:spacing w:after="20"/>
        <w:ind w:left="0"/>
      </w:pPr>
      <w:r>
        <w:rPr>
          <w:b w:val="0"/>
          <w:sz w:val="22"/>
        </w:rPr>
        <w:t>5. Источники зависимостей сборки</w:t>
      </w:r>
    </w:p>
    <w:p>
      <w:pPr>
        <w:spacing w:after="20"/>
        <w:ind w:left="0"/>
      </w:pPr>
      <w:r>
        <w:rPr>
          <w:b w:val="0"/>
          <w:sz w:val="22"/>
        </w:rPr>
        <w:t>6. Подтверждающие сведения</w:t>
      </w:r>
    </w:p>
    <w:p>
      <w:pPr>
        <w:pStyle w:val="Heading1"/>
        <w:pageBreakBefore/>
      </w:pPr>
      <w:r>
        <w:rPr>
          <w:b w:val="0"/>
          <w:sz w:val="28"/>
        </w:rPr>
        <w:t xml:space="preserve">Условия подачи </w:t>
      </w:r>
      <w:r>
        <w:rPr>
          <w:b/>
          <w:sz w:val="28"/>
          <w:highlight w:val="yellow"/>
        </w:rPr>
        <w:t>[ЗАПОЛНИТЬ: удалить этот раздел, когда все условия выполнены]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Документ описывает размещение средств хранения и сборки, которое должно существовать на дату подачи заявления. Пока хотя бы одно из условий ниже не выполнено, сведения документа не соответствуют действительности и заявление подавать нельзя: недостоверные сведения влекут отказ во включении сведений в реестр (подпункт «а» пункта 27 Правил) и отказ в регистрации нового заявления в течение 12 месяцев (подпункт «б» пункта 17 Правил).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</w:r>
      <w:r>
        <w:rPr>
          <w:b/>
          <w:sz w:val="22"/>
          <w:highlight w:val="yellow"/>
        </w:rPr>
        <w:t>[ПРОВЕРИТЬ ДО ПОДАЧИ]</w:t>
      </w:r>
      <w:r>
        <w:rPr>
          <w:b w:val="0"/>
          <w:sz w:val="22"/>
        </w:rPr>
        <w:t xml:space="preserve"> Репозиторий исходного текста со всей историей, ветками и тегами размещён в системе хранения на территории Российской Федерации (раздел 2), как требует подпункт «и» пункта 5 Правил. Копии вне Российской Федерации не используются для разработки и сборки.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</w:r>
      <w:r>
        <w:rPr>
          <w:b/>
          <w:sz w:val="22"/>
          <w:highlight w:val="yellow"/>
        </w:rPr>
        <w:t>[ПРОВЕРИТЬ ДО ПОДАЧИ]</w:t>
      </w:r>
      <w:r>
        <w:rPr>
          <w:b w:val="0"/>
          <w:sz w:val="22"/>
        </w:rPr>
        <w:t xml:space="preserve"> Сборка всех образов выполняется только на сборочных серверах на территории Российской Федерации (раздел 4); иные системы сборки отключены.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</w:r>
      <w:r>
        <w:rPr>
          <w:b/>
          <w:sz w:val="22"/>
          <w:highlight w:val="yellow"/>
        </w:rPr>
        <w:t>[ПРОВЕРИТЬ ДО ПОДАЧИ]</w:t>
      </w:r>
      <w:r>
        <w:rPr>
          <w:b w:val="0"/>
          <w:sz w:val="22"/>
        </w:rPr>
        <w:t xml:space="preserve"> Объектный код (образы контейнеров и чарты Helm) публикуется только в реестр образов на территории Российской Федерации (раздел 3); инсталляции получают образы только из него.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</w:r>
      <w:r>
        <w:rPr>
          <w:b/>
          <w:sz w:val="22"/>
          <w:highlight w:val="yellow"/>
        </w:rPr>
        <w:t>[ПРОВЕРИТЬ ДО ПОДАЧИ]</w:t>
      </w:r>
      <w:r>
        <w:rPr>
          <w:b w:val="0"/>
          <w:sz w:val="22"/>
        </w:rPr>
        <w:t xml:space="preserve"> Все внешние источники зависимостей, перечисленные в разделе 5, заменены копиями или кэширующими прокси на территории Российской Федерации, а сборка проверена без доступа к иным источникам.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5.</w:t>
        <w:tab/>
      </w:r>
      <w:r>
        <w:rPr>
          <w:b/>
          <w:sz w:val="22"/>
          <w:highlight w:val="yellow"/>
        </w:rPr>
        <w:t>[ПРОВЕРИТЬ ДО ПОДАЧИ]</w:t>
      </w:r>
      <w:r>
        <w:rPr>
          <w:b w:val="0"/>
          <w:sz w:val="22"/>
        </w:rPr>
        <w:t xml:space="preserve"> Развёртывание обновлений выполняется только из сборочной системы на территории Российской Федерации (раздел 4.4); управление программным обеспечением и его обновление из-за рубежа невозможны.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6.</w:t>
        <w:tab/>
      </w:r>
      <w:r>
        <w:rPr>
          <w:b/>
          <w:sz w:val="22"/>
          <w:highlight w:val="yellow"/>
        </w:rPr>
        <w:t>[ПРОВЕРИТЬ ДО ПОДАЧИ]</w:t>
      </w:r>
      <w:r>
        <w:rPr>
          <w:b w:val="0"/>
          <w:sz w:val="22"/>
        </w:rPr>
        <w:t xml:space="preserve"> Сведения разделов 2–4 (адреса, договоры, версии) подтверждены документами, которые прилагаются к заявлению или предъявляются по запросу (раздел 6).</w:t>
      </w:r>
    </w:p>
    <w:p>
      <w:pPr>
        <w:pStyle w:val="Heading1"/>
      </w:pPr>
      <w:r>
        <w:rPr>
          <w:b w:val="0"/>
          <w:sz w:val="28"/>
        </w:rPr>
        <w:t>1. Общие сведения</w:t>
      </w:r>
    </w:p>
    <w:p>
      <w:pPr>
        <w:pStyle w:val="Heading2"/>
      </w:pPr>
      <w:r>
        <w:rPr>
          <w:b w:val="0"/>
          <w:sz w:val="24"/>
        </w:rPr>
        <w:t>1.1. Назначение документа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Документ содержит описание технических средств хранения исходного текста и объектного кода программного комплекса «Айтечество» (далее — программный комплекс) и средств его компиляции (сборки), включая место их размещения. Документ предусмотрен подпунктом «ж» пункта 11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— членов Евразийского экономического союза, за исключением Российской Федерации, утверждённых постановлением Правительства Российской Федерации от 16.11.2015 № 1236 (в редакции от 13.08.2026) (далее — Правила), и описывает соответствие программного комплекса требованию подпункта «и» пункта 5 Правил.</w:t>
      </w:r>
    </w:p>
    <w:p>
      <w:pPr>
        <w:pStyle w:val="Heading2"/>
      </w:pPr>
      <w:r>
        <w:rPr>
          <w:b w:val="0"/>
          <w:sz w:val="24"/>
        </w:rPr>
        <w:t>1.2. Сведения о программном обеспечении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5953"/>
      </w:tblGrid>
      <w:tr>
        <w:trPr>
          <w:tblHeader/>
          <w:cantSplit/>
        </w:trPr>
        <w:tc>
          <w:tcPr>
            <w:tcW w:type="dxa" w:w="3402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Наименование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Программный комплекс «Айтечество»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Версия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0.2.0 (редакция RU)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Правообладатель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Индивидуальный предприниматель Орлова Юлия Витальевна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Система контроля версий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Git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Языки программирования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Go, Python, TypeScript; SQL (схема базы данных)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Форма объектного кода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Образы контейнеров формата OCI для платформы linux/amd64; чарты Helm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1.3. Состав исходного текста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Исходный текст хранится в одном репозитории Git. Репозиторий содержит исходный текст компонентов программного комплекса, тесты, общие контракты (схема базы данных, JSON-схемы, типы API), сценарии сборки (Dockerfile), описание конвейера сборки, манифесты развёртывания (чарты Helm, шаблон стека Docker Swarm) и документацию.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587"/>
        <w:gridCol w:w="5216"/>
        <w:gridCol w:w="2551"/>
      </w:tblGrid>
      <w:tr>
        <w:trPr>
          <w:tblHeader/>
          <w:cantSplit/>
        </w:trPr>
        <w:tc>
          <w:tcPr>
            <w:tcW w:type="dxa" w:w="1587"/>
          </w:tcPr>
          <w:p>
            <w:r>
              <w:rPr>
                <w:b/>
                <w:sz w:val="19"/>
              </w:rPr>
              <w:t>Компонент</w:t>
            </w:r>
          </w:p>
        </w:tc>
        <w:tc>
          <w:tcPr>
            <w:tcW w:type="dxa" w:w="5216"/>
          </w:tcPr>
          <w:p>
            <w:r>
              <w:rPr>
                <w:b/>
                <w:sz w:val="19"/>
              </w:rPr>
              <w:t>Назначение</w:t>
            </w:r>
          </w:p>
        </w:tc>
        <w:tc>
          <w:tcPr>
            <w:tcW w:type="dxa" w:w="2551"/>
          </w:tcPr>
          <w:p>
            <w:r>
              <w:rPr>
                <w:b/>
                <w:sz w:val="19"/>
              </w:rPr>
              <w:t>Язык и форма объектного кода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b w:val="0"/>
                <w:sz w:val="19"/>
              </w:rPr>
              <w:t>gateway</w:t>
            </w:r>
          </w:p>
        </w:tc>
        <w:tc>
          <w:tcPr>
            <w:tcW w:type="dxa" w:w="5216"/>
          </w:tcPr>
          <w:p>
            <w:r>
              <w:rPr>
                <w:b w:val="0"/>
                <w:sz w:val="19"/>
              </w:rPr>
              <w:t>Шлюз: приём запросов, маскирование и восстановление данных, политики, проксирование к моделям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Go; статически скомпонованный исполняемый файл в образе контейнера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b w:val="0"/>
                <w:sz w:val="19"/>
              </w:rPr>
              <w:t>api</w:t>
            </w:r>
          </w:p>
        </w:tc>
        <w:tc>
          <w:tcPr>
            <w:tcW w:type="dxa" w:w="5216"/>
          </w:tcPr>
          <w:p>
            <w:r>
              <w:rPr>
                <w:b w:val="0"/>
                <w:sz w:val="19"/>
              </w:rPr>
              <w:t>API управления, фоновые задачи, миграции базы данных, биллинг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Python; пакет с зависимостями в образе контейнера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b w:val="0"/>
                <w:sz w:val="19"/>
              </w:rPr>
              <w:t>nlp</w:t>
            </w:r>
          </w:p>
        </w:tc>
        <w:tc>
          <w:tcPr>
            <w:tcW w:type="dxa" w:w="5216"/>
          </w:tcPr>
          <w:p>
            <w:r>
              <w:rPr>
                <w:b w:val="0"/>
                <w:sz w:val="19"/>
              </w:rPr>
              <w:t>Сервис распознавания именованных сущностей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Python; пакет с зависимостями и словарями в образе контейнера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b w:val="0"/>
                <w:sz w:val="19"/>
              </w:rPr>
              <w:t>extractor</w:t>
            </w:r>
          </w:p>
        </w:tc>
        <w:tc>
          <w:tcPr>
            <w:tcW w:type="dxa" w:w="5216"/>
          </w:tcPr>
          <w:p>
            <w:r>
              <w:rPr>
                <w:b w:val="0"/>
                <w:sz w:val="19"/>
              </w:rPr>
              <w:t>Извлечение текста из вложенных документов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Python; пакет в образе контейнера с офисным пакетом для старых форматов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b w:val="0"/>
                <w:sz w:val="19"/>
              </w:rPr>
              <w:t>web</w:t>
            </w:r>
          </w:p>
        </w:tc>
        <w:tc>
          <w:tcPr>
            <w:tcW w:type="dxa" w:w="5216"/>
          </w:tcPr>
          <w:p>
            <w:r>
              <w:rPr>
                <w:b w:val="0"/>
                <w:sz w:val="19"/>
              </w:rPr>
              <w:t>Веб-консоль и сайт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TypeScript; собранное приложение Next.js в образе контейнера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b w:val="0"/>
                <w:sz w:val="19"/>
              </w:rPr>
              <w:t>contracts</w:t>
            </w:r>
          </w:p>
        </w:tc>
        <w:tc>
          <w:tcPr>
            <w:tcW w:type="dxa" w:w="5216"/>
          </w:tcPr>
          <w:p>
            <w:r>
              <w:rPr>
                <w:b w:val="0"/>
                <w:sz w:val="19"/>
              </w:rPr>
              <w:t>Схема базы данных, JSON-схемы, типы API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SQL, JSON, YAML, TypeScript; входят в сборку компонентов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b w:val="0"/>
                <w:sz w:val="19"/>
              </w:rPr>
              <w:t>backup</w:t>
            </w:r>
          </w:p>
        </w:tc>
        <w:tc>
          <w:tcPr>
            <w:tcW w:type="dxa" w:w="5216"/>
          </w:tcPr>
          <w:p>
            <w:r>
              <w:rPr>
                <w:b w:val="0"/>
                <w:sz w:val="19"/>
              </w:rPr>
              <w:t>Резервное копирование базы данных (для установки в Docker Swarm)</w:t>
            </w:r>
          </w:p>
        </w:tc>
        <w:tc>
          <w:tcPr>
            <w:tcW w:type="dxa" w:w="2551"/>
          </w:tcPr>
          <w:p>
            <w:r>
              <w:rPr>
                <w:b w:val="0"/>
                <w:sz w:val="19"/>
              </w:rPr>
              <w:t>Сценарий оболочки; образ контейнера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Объём исходного текста продукта, представленного в документе «Текст программы», указан на его титульном листе (число файлов, строк и SHA-256 листинга, коммит Git).</w:t>
      </w:r>
    </w:p>
    <w:p>
      <w:pPr>
        <w:pStyle w:val="Heading2"/>
      </w:pPr>
      <w:r>
        <w:rPr>
          <w:b w:val="0"/>
          <w:sz w:val="24"/>
        </w:rPr>
        <w:t>1.4. Схема размещения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Все средства хранения и сборки находятся на территории Российской Федерации и контролируются правообладателем: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репозиторий исходного текста, система учёта задач, система непрерывной интеграции и реестр образов и пакетов — в российском сервисе GitFlic по договору правообладателя с оператором сервиса (разделы 2, 3);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сборочный сервер — виртуальный сервер, арендованный правообладателем у российского поставщика услуг: на нём работают сборочный агент системы непрерывной интеграции, кэширующие прокси зависимостей и нагрузочный тест (разделы 4, 5);</w:t>
      </w:r>
    </w:p>
    <w:p>
      <w:pPr>
        <w:tabs>
          <w:tab w:pos="340" w:val="left"/>
        </w:tabs>
        <w:spacing w:after="40"/>
        <w:ind w:left="340" w:hanging="340"/>
        <w:jc w:val="both"/>
      </w:pPr>
      <w:r>
        <w:rPr>
          <w:b w:val="0"/>
          <w:sz w:val="22"/>
        </w:rPr>
        <w:t>–</w:t>
        <w:tab/>
        <w:t>копии сторонних образов, чартов и файлов релизов, необходимых для сборки и установки, — в реестре того же сервиса (раздел 5).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Учётная запись организации в сервисе и договоры принадлежат правообладателю; административный доступ имеют только правообладатель и исполнитель по договору на доработку и сопровождение программы для ЭВМ «Айтечество» (документ «Описание процессов, обеспечивающих поддержание жизненного цикла программного обеспечения», раздел 6).</w:t>
      </w:r>
    </w:p>
    <w:p>
      <w:pPr>
        <w:pStyle w:val="Heading1"/>
      </w:pPr>
      <w:r>
        <w:rPr>
          <w:b w:val="0"/>
          <w:sz w:val="28"/>
        </w:rPr>
        <w:t>2. Средства хранения исходного текста</w:t>
      </w:r>
    </w:p>
    <w:p>
      <w:pPr>
        <w:pStyle w:val="Heading2"/>
      </w:pPr>
      <w:r>
        <w:rPr>
          <w:b w:val="0"/>
          <w:sz w:val="24"/>
        </w:rPr>
        <w:t>2.1. Система хранения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5953"/>
      </w:tblGrid>
      <w:tr>
        <w:trPr>
          <w:tblHeader/>
          <w:cantSplit/>
        </w:trPr>
        <w:tc>
          <w:tcPr>
            <w:tcW w:type="dxa" w:w="3402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Система хранения репозиториев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GitFlic — российский сервис хранения репозиториев Git с системой учёта задач, непрерывной интеграцией и реестром образов и пакетов (облачная версия сервиса)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Оператор сервиса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  <w:highlight w:val="yellow"/>
              </w:rPr>
              <w:t>[ЗАПОЛНИТЬ: наименование и ИНН оператора сервиса]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Место размещения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 xml:space="preserve">Центр обработки данных оператора на территории Российской Федерации </w:t>
            </w:r>
            <w:r>
              <w:rPr>
                <w:b/>
                <w:sz w:val="19"/>
                <w:highlight w:val="yellow"/>
              </w:rPr>
              <w:t>[ЗАПОЛНИТЬ: адрес центра обработки данных по сведениям оператора]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Основание размещения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Договор правообладателя с оператором сервиса (раздел 6)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Адрес репозитория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  <w:highlight w:val="yellow"/>
              </w:rPr>
              <w:t>[ЗАПОЛНИТЬ: адрес репозитория в сервисе]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Защищённые ветки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 xml:space="preserve">Основная ветка: прямая запись запрещена, изменения вносятся только через запросы на слияние после рецензирования и прохождения автоматических проверок </w:t>
            </w:r>
            <w:r>
              <w:rPr>
                <w:b/>
                <w:sz w:val="19"/>
                <w:highlight w:val="yellow"/>
              </w:rPr>
              <w:t>[ПРОВЕРИТЬ ДО ПОДАЧИ: защита основной ветки настроена в сервисе]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Доступ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 xml:space="preserve">Персональные учётные записи правообладателя и исполнителя; операции с репозиторием — по SSH-ключам или персональным токенам; сборочный агент — по токену с правом чтения репозитория и публикации в реестр </w:t>
            </w:r>
            <w:r>
              <w:rPr>
                <w:b/>
                <w:sz w:val="19"/>
                <w:highlight w:val="yellow"/>
              </w:rPr>
              <w:t>[ЗАПОЛНИТЬ: число учётных записей]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Учёт задач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Система учёта задач сервиса: неисправности, предложения и план выпусков (документ «Описание процессов, обеспечивающих поддержание жизненного цикла программного обеспечения», разделы 2.2 и 3.2)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Резервное копирование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Ежесуточное зеркальное копирование репозитория со всей историей, ветками и тегами на сборочный сервер правообладателя (раздел 4.1); хранятся копии за 30 дней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2.2. Порядок внесения изменений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Изменения исходного текста вносятся в отдельных ветках и попадают в основную ветку через запрос на слияние. До слияния сборочная система выполняет автоматические проверки, перечисленные в документе «Описание процессов, обеспечивающих поддержание жизненного цикла программного обеспечения». Каждый выпуск отмечается тегом Git вида vX.Y.Z; коммит, из которого выгружен текст программы, указан на титульном листе документа «Текст программы».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Секреты (ключи, пароли, токены) в репозитории не хранятся: в нём находятся только шаблоны конфигурации с заглушками, а файлы с секретами исключены из системы контроля версий.</w:t>
      </w:r>
    </w:p>
    <w:p>
      <w:pPr>
        <w:pStyle w:val="Heading1"/>
      </w:pPr>
      <w:r>
        <w:rPr>
          <w:b w:val="0"/>
          <w:sz w:val="28"/>
        </w:rPr>
        <w:t>3. Средства хранения объектного кода</w:t>
      </w:r>
    </w:p>
    <w:p>
      <w:pPr>
        <w:pStyle w:val="Heading2"/>
      </w:pPr>
      <w:r>
        <w:rPr>
          <w:b w:val="0"/>
          <w:sz w:val="24"/>
        </w:rPr>
        <w:t>3.1. Реестр образов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5953"/>
      </w:tblGrid>
      <w:tr>
        <w:trPr>
          <w:tblHeader/>
          <w:cantSplit/>
        </w:trPr>
        <w:tc>
          <w:tcPr>
            <w:tcW w:type="dxa" w:w="3402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Реестр образов контейнеров и чартов Helm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Реестр образов и реестр пакетов (Helm, generic) сервиса GitFlic, используемого для хранения исходного текста (раздел 2.1)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Оператор, место и основание размещения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Как в разделе 2.1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Адрес реестра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  <w:highlight w:val="yellow"/>
              </w:rPr>
              <w:t>[ЗАПОЛНИТЬ: адрес реестра образов]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Публикация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Только сборочным агентом правообладателя (раздел 4.1) по токену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Доступ заказчиков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Персональные учётные данные с правом только чтения, выдаваемые на срок лицензионного договора (документ «Описание технических средств активации, выдачи, распространения и управления лицензиями», раздел 3.2)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Срок хранения образов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Образы и чарты выпусков vX.Y.Z — бессрочно; промежуточные сборки (теги sha-…) — не менее 90 дней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3.2. Состав объектного кода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Объектный код каждого выпуска — набор образов контейнеров (по одному на компонент) и чарты Helm. Образ собирается один раз из коммита, проверяется сканером уязвимостей и только после успешной проверки получает теги: sha-&lt;первые 12 символов коммита&gt; и номер выпуска vX.Y.Z. Образ, не прошедший проверку, тегов не получает и не может быть развёрнут. Инсталляции ссылаются на образы по тегу выпуска; неизменность содержимого обеспечивается дайджестом SHA-256 образа. При сборке формируется перечень компонентов образа (SBOM).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984"/>
        <w:gridCol w:w="7370"/>
      </w:tblGrid>
      <w:tr>
        <w:trPr>
          <w:tblHeader/>
          <w:cantSplit/>
        </w:trPr>
        <w:tc>
          <w:tcPr>
            <w:tcW w:type="dxa" w:w="1984"/>
          </w:tcPr>
          <w:p>
            <w:r>
              <w:rPr>
                <w:b/>
                <w:sz w:val="19"/>
              </w:rPr>
              <w:t>Образ</w:t>
            </w:r>
          </w:p>
        </w:tc>
        <w:tc>
          <w:tcPr>
            <w:tcW w:type="dxa" w:w="7370"/>
          </w:tcPr>
          <w:p>
            <w:r>
              <w:rPr>
                <w:b/>
                <w:sz w:val="19"/>
              </w:rPr>
              <w:t>Содержимое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gateway</w:t>
            </w:r>
          </w:p>
        </w:tc>
        <w:tc>
          <w:tcPr>
            <w:tcW w:type="dxa" w:w="7370"/>
          </w:tcPr>
          <w:p>
            <w:r>
              <w:rPr>
                <w:b w:val="0"/>
                <w:sz w:val="19"/>
              </w:rPr>
              <w:t>Исполняемый файл шлюза; базовый образ без командной оболочки (distroless static, Debian 13), пользователь без прав администратора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api</w:t>
            </w:r>
          </w:p>
        </w:tc>
        <w:tc>
          <w:tcPr>
            <w:tcW w:type="dxa" w:w="7370"/>
          </w:tcPr>
          <w:p>
            <w:r>
              <w:rPr>
                <w:b w:val="0"/>
                <w:sz w:val="19"/>
              </w:rPr>
              <w:t>Пакет aitech_api с зависимостями (API управления, фоновые задачи, миграции); Python 3.12; менеджеры пакетов и компиляторы удалены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nlp</w:t>
            </w:r>
          </w:p>
        </w:tc>
        <w:tc>
          <w:tcPr>
            <w:tcW w:type="dxa" w:w="7370"/>
          </w:tcPr>
          <w:p>
            <w:r>
              <w:rPr>
                <w:b w:val="0"/>
                <w:sz w:val="19"/>
              </w:rPr>
              <w:t>Пакет aitech_nlp с зависимостями и словарями морфологии и распознавания сущностей; модели загружаются из установленных пакетов, без обращений к сети при работе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extractor</w:t>
            </w:r>
          </w:p>
        </w:tc>
        <w:tc>
          <w:tcPr>
            <w:tcW w:type="dxa" w:w="7370"/>
          </w:tcPr>
          <w:p>
            <w:r>
              <w:rPr>
                <w:b w:val="0"/>
                <w:sz w:val="19"/>
              </w:rPr>
              <w:t>Пакет aitech_extractor; офисный пакет LibreOffice (без графического интерфейса) для старых форматов документов; менеджеры пакетов удалены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web</w:t>
            </w:r>
          </w:p>
        </w:tc>
        <w:tc>
          <w:tcPr>
            <w:tcW w:type="dxa" w:w="7370"/>
          </w:tcPr>
          <w:p>
            <w:r>
              <w:rPr>
                <w:b w:val="0"/>
                <w:sz w:val="19"/>
              </w:rPr>
              <w:t>Собранное приложение Next.js (режим standalone) на Node.js 24; менеджеры пакетов удалены</w:t>
            </w:r>
          </w:p>
        </w:tc>
      </w:tr>
      <w:tr>
        <w:trPr>
          <w:cantSplit/>
        </w:trPr>
        <w:tc>
          <w:tcPr>
            <w:tcW w:type="dxa" w:w="1984"/>
          </w:tcPr>
          <w:p>
            <w:r>
              <w:rPr>
                <w:b w:val="0"/>
                <w:sz w:val="19"/>
              </w:rPr>
              <w:t>backup</w:t>
            </w:r>
          </w:p>
        </w:tc>
        <w:tc>
          <w:tcPr>
            <w:tcW w:type="dxa" w:w="7370"/>
          </w:tcPr>
          <w:p>
            <w:r>
              <w:rPr>
                <w:b w:val="0"/>
                <w:sz w:val="19"/>
              </w:rPr>
              <w:t>PostgreSQL 17 (клиент pg_dump), средства шифрования и выгрузки копий в объектное хранилище</w:t>
            </w:r>
          </w:p>
        </w:tc>
      </w:tr>
    </w:tbl>
    <w:p>
      <w:pPr>
        <w:spacing w:after="4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Сторонние образы, которые используются при установке (PostgreSQL, Valkey, объектное хранилище, обратный прокси, оператор PostgreSQL для Kubernetes и др.), перечислены в документе «Перечень сторонних компонентов» и закреплены по дайджесту; их копии размещаются в том же реестре (раздел 5).</w:t>
      </w:r>
    </w:p>
    <w:p>
      <w:pPr>
        <w:pStyle w:val="Heading1"/>
      </w:pPr>
      <w:r>
        <w:rPr>
          <w:b w:val="0"/>
          <w:sz w:val="28"/>
        </w:rPr>
        <w:t>4. Средства компиляции (сборки)</w:t>
      </w:r>
    </w:p>
    <w:p>
      <w:pPr>
        <w:pStyle w:val="Heading2"/>
      </w:pPr>
      <w:r>
        <w:rPr>
          <w:b w:val="0"/>
          <w:sz w:val="24"/>
        </w:rPr>
        <w:t>4.1. Сборочная система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5953"/>
      </w:tblGrid>
      <w:tr>
        <w:trPr>
          <w:tblHeader/>
          <w:cantSplit/>
        </w:trPr>
        <w:tc>
          <w:tcPr>
            <w:tcW w:type="dxa" w:w="3402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Система непрерывной интеграции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Система CI/CD сервиса GitFlic; описание конвейера хранится в репозитории; задания выполняются только сборочным агентом правообладателя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Сборочный сервер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 xml:space="preserve">Один виртуальный сервер, арендованный правообладателем у российского поставщика услуг; на нём работают сборочный агент, кэширующие прокси зависимостей (раздел 5), зеркальная копия репозитория (раздел 2.1) и нагрузочный тест </w:t>
            </w:r>
            <w:r>
              <w:rPr>
                <w:b/>
                <w:sz w:val="19"/>
                <w:highlight w:val="yellow"/>
              </w:rPr>
              <w:t>[ЗАПОЛНИТЬ: ОС, процессор, память, диск]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Место размещения</w:t>
            </w:r>
          </w:p>
        </w:tc>
        <w:tc>
          <w:tcPr>
            <w:tcW w:type="dxa" w:w="5953"/>
          </w:tcPr>
          <w:p>
            <w:r>
              <w:rPr>
                <w:b/>
                <w:sz w:val="19"/>
                <w:highlight w:val="yellow"/>
              </w:rPr>
              <w:t>[ЗАПОЛНИТЬ: центр обработки данных, адрес на территории Российской Федерации]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Основание размещения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Договор аренды сервера (раздел 6)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Средство сборки образов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 xml:space="preserve">Docker Engine с BuildKit (docker buildx) </w:t>
            </w:r>
            <w:r>
              <w:rPr>
                <w:b/>
                <w:sz w:val="19"/>
                <w:highlight w:val="yellow"/>
              </w:rPr>
              <w:t>[ЗАПОЛНИТЬ: версия на сборочном сервере]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sz w:val="19"/>
              </w:rPr>
              <w:t>Целевая платформа</w:t>
            </w:r>
          </w:p>
        </w:tc>
        <w:tc>
          <w:tcPr>
            <w:tcW w:type="dxa" w:w="5953"/>
          </w:tcPr>
          <w:p>
            <w:r>
              <w:rPr>
                <w:b w:val="0"/>
                <w:sz w:val="19"/>
              </w:rPr>
              <w:t>linux/amd64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4.2. Инструменты сборки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Версии инструментов закреплены в сценариях сборки (Dockerfile) и файлах зависимостей репозитория; базовые образы закреплены по дайджесту SHA-256.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1701"/>
        <w:gridCol w:w="4706"/>
      </w:tblGrid>
      <w:tr>
        <w:trPr>
          <w:tblHeader/>
          <w:cantSplit/>
        </w:trPr>
        <w:tc>
          <w:tcPr>
            <w:tcW w:type="dxa" w:w="2948"/>
          </w:tcPr>
          <w:p>
            <w:r>
              <w:rPr>
                <w:b/>
                <w:sz w:val="19"/>
              </w:rPr>
              <w:t>Инструмент</w:t>
            </w:r>
          </w:p>
        </w:tc>
        <w:tc>
          <w:tcPr>
            <w:tcW w:type="dxa" w:w="1701"/>
          </w:tcPr>
          <w:p>
            <w:r>
              <w:rPr>
                <w:b/>
                <w:sz w:val="19"/>
              </w:rPr>
              <w:t>Версия</w:t>
            </w:r>
          </w:p>
        </w:tc>
        <w:tc>
          <w:tcPr>
            <w:tcW w:type="dxa" w:w="4706"/>
          </w:tcPr>
          <w:p>
            <w:r>
              <w:rPr>
                <w:b/>
                <w:sz w:val="19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Go (компилятор и компоновщик)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1.27.3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Сборка шлюза: CGO_ENABLED=0, флаги -trimpath -buildvcs=false -ldflags="-s -w"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Python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3.12.15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Среда выполнения api, nlp, extractor; Python-компоненты не компилируются в машинный код, а поставляются как пакеты в образе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uv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0.12.7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Установка зависимостей Python строго по файлам блокировки (uv sync --frozen)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Node.js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24.22.0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Сборка и выполнение веб-приложения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pnpm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12.8.1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Установка зависимостей веб-приложения строго по файлу блокировки (--frozen-lockfile)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TypeScript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6.0.3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Компиляция веб-приложения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Next.js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 xml:space="preserve">16.4.0 </w:t>
            </w:r>
            <w:r>
              <w:rPr>
                <w:b/>
                <w:sz w:val="19"/>
                <w:highlight w:val="yellow"/>
              </w:rPr>
              <w:t>[ПРОВЕРИТЬ ДО ПОДАЧИ: до выпуска обновлено до версии с исправлением известных критических уязвимостей (не ниже 16.4.2); указать версию выпуска]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Сборка веб-приложения (режим standalone)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Базовый образ сборки Go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golang 1.27.3, Debian 12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Стадия сборки шлюза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Базовый образ Python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python 3.12.15-slim, Debian 13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Стадии сборки и выполнения api, nlp, extractor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Базовый образ Node.js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node 24.22.0, Debian 13 (slim)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Стадии сборки и выполнения web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Базовый образ шлюза</w:t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  <w:t>distroless static, Debian 13</w:t>
            </w:r>
          </w:p>
        </w:tc>
        <w:tc>
          <w:tcPr>
            <w:tcW w:type="dxa" w:w="4706"/>
          </w:tcPr>
          <w:p>
            <w:r>
              <w:rPr>
                <w:b w:val="0"/>
                <w:sz w:val="19"/>
              </w:rPr>
              <w:t>Стадия выполнения шлюза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  <w:sz w:val="24"/>
        </w:rPr>
        <w:t>4.3. Порядок сборки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1.</w:t>
        <w:tab/>
        <w:t>Сборочная система получает исходный текст из репозитория (раздел 2) по коммиту основной ветки или тегу выпуска.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2.</w:t>
        <w:tab/>
        <w:t>Проверяется согласованность общих контрактов и их копий в компонентах, формат файла закрепления сторонних образов, конфигурация развёртывания.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3.</w:t>
        <w:tab/>
        <w:t>Выполняются статический анализ, проверка типов, модульные и интеграционные тесты всех компонентов, тесты качества маскирования, проверка совместимости с предыдущим выпуском и поиск известных уязвимостей в зависимостях.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4.</w:t>
        <w:tab/>
        <w:t>Для каждого компонента собирается образ контейнера (docker buildx build, платформа linux/amd64) по многостадийному Dockerfile: стадия сборки устанавливает зависимости по файлам блокировки из источников раздела 5 и выполняет самопроверку, стадия выполнения содержит только необходимые для работы файлы и запускается от пользователя без прав администратора.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5.</w:t>
        <w:tab/>
        <w:t>Образ публикуется в реестр (раздел 3) без тегов, проверяется сканером уязвимостей; при отсутствии исправимых критических уязвимостей образу присваиваются теги.</w:t>
      </w:r>
    </w:p>
    <w:p>
      <w:pPr>
        <w:tabs>
          <w:tab w:pos="567" w:val="left"/>
        </w:tabs>
        <w:spacing w:after="40"/>
        <w:ind w:left="567" w:hanging="567"/>
        <w:jc w:val="both"/>
      </w:pPr>
      <w:r>
        <w:rPr>
          <w:b w:val="0"/>
          <w:sz w:val="22"/>
        </w:rPr>
        <w:t>6.</w:t>
        <w:tab/>
        <w:t>Еженедельно повторно проверяются на уязвимости все закреплённые сторонние образы.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Сборка воспроизводима в том смысле, что все входные данные закреплены: базовые образы — по дайджесту, зависимости — файлами блокировки с хешами (go.sum, uv.lock, pnpm-lock.yaml). Побайтовое совпадение образов при повторной сборке не гарантируется.</w:t>
      </w:r>
    </w:p>
    <w:p>
      <w:pPr>
        <w:pStyle w:val="Heading2"/>
      </w:pPr>
      <w:r>
        <w:rPr>
          <w:b w:val="0"/>
          <w:sz w:val="24"/>
        </w:rPr>
        <w:t>4.4. Развёртывание обновлений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Обновление инсталляции правообладателя выполняется заданием сборочной системы на сборочном агенте правообладателя: задание запускается правообладателем или исполнителем только для образов, прошедших проверки раздела 4.3, формирует файл стека с тегом выпуска и разворачивает его на сервере инсталляции; образы загружаются только из реестра правообладателя (раздел 3). Инсталляции заказчиков обновляются заказчиками самостоятельно (документ «Информация, необходимая для установки и эксплуатации», раздел 10): средств удалённого управления инсталляциями заказчиков и принудительного обновления программный комплекс не содержит.</w:t>
      </w:r>
    </w:p>
    <w:p>
      <w:pPr>
        <w:pStyle w:val="Heading1"/>
      </w:pPr>
      <w:r>
        <w:rPr>
          <w:b w:val="0"/>
          <w:sz w:val="28"/>
        </w:rPr>
        <w:t>5. Источники зависимостей сборки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Сборка не обращается к хранилищам за пределами Российской Федерации: каждый внешний источник заменён копией в реестре правообладателя (раздел 3) или кэширующим прокси на сборочном сервере (раздел 4.1). Копии пополняются при изменении файлов зависимостей; целостность полученных файлов проверяется по хешам из файлов блокировки и закрепления. Перечень сторонних компонентов с версиями и лицензиями приведён в документе «Перечень сторонних компонентов».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2835"/>
        <w:gridCol w:w="3572"/>
      </w:tblGrid>
      <w:tr>
        <w:trPr>
          <w:tblHeader/>
          <w:cantSplit/>
        </w:trPr>
        <w:tc>
          <w:tcPr>
            <w:tcW w:type="dxa" w:w="2948"/>
          </w:tcPr>
          <w:p>
            <w:r>
              <w:rPr>
                <w:b/>
                <w:sz w:val="19"/>
              </w:rPr>
              <w:t>Исходный источник</w:t>
            </w:r>
          </w:p>
        </w:tc>
        <w:tc>
          <w:tcPr>
            <w:tcW w:type="dxa" w:w="2835"/>
          </w:tcPr>
          <w:p>
            <w:r>
              <w:rPr>
                <w:b/>
                <w:sz w:val="19"/>
              </w:rPr>
              <w:t>Что из него получается</w:t>
            </w:r>
          </w:p>
        </w:tc>
        <w:tc>
          <w:tcPr>
            <w:tcW w:type="dxa" w:w="3572"/>
          </w:tcPr>
          <w:p>
            <w:r>
              <w:rPr>
                <w:b/>
                <w:sz w:val="19"/>
              </w:rPr>
              <w:t>Источник при сборке в РФ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Публичные реестры образов контейнеров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Базовые образы сборки и выполнения; образы PostgreSQL, Valkey, объектного хранилища, обратного прокси, компонентов Kubernetes</w:t>
            </w:r>
          </w:p>
        </w:tc>
        <w:tc>
          <w:tcPr>
            <w:tcW w:type="dxa" w:w="3572"/>
          </w:tcPr>
          <w:p>
            <w:r>
              <w:rPr>
                <w:b w:val="0"/>
                <w:sz w:val="19"/>
              </w:rPr>
              <w:t>Копии образов в реестре правообладателя, загруженные по дайджестам из Dockerfile и файла images.lock.yaml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Прокси модулей Go и база контрольных сумм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Модули Go шлюза; средства статического анализа</w:t>
            </w:r>
          </w:p>
        </w:tc>
        <w:tc>
          <w:tcPr>
            <w:tcW w:type="dxa" w:w="3572"/>
          </w:tcPr>
          <w:p>
            <w:r>
              <w:rPr>
                <w:b w:val="0"/>
                <w:sz w:val="19"/>
              </w:rPr>
              <w:t>Кэширующий прокси модулей Go на сборочном сервере (переменная GOPROXY); модули проверяются по файлу go.sum репозитория, обращение к внешней базе контрольных сумм отключено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Индекс пакетов Python (PyPI)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Зависимости api, nlp, extractor, включая словари морфологии и модели распознавания сущностей</w:t>
            </w:r>
          </w:p>
        </w:tc>
        <w:tc>
          <w:tcPr>
            <w:tcW w:type="dxa" w:w="3572"/>
          </w:tcPr>
          <w:p>
            <w:r>
              <w:rPr>
                <w:b w:val="0"/>
                <w:sz w:val="19"/>
              </w:rPr>
              <w:t>Кэширующее зеркало индекса пакетов на сборочном сервере; пакеты проверяются по хешам файлов uv.lock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Публикации релизов проектов с открытым исходным кодом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Пакет модели spaCy для английского языка; средства rclone и age для образа резервного копирования</w:t>
            </w:r>
          </w:p>
        </w:tc>
        <w:tc>
          <w:tcPr>
            <w:tcW w:type="dxa" w:w="3572"/>
          </w:tcPr>
          <w:p>
            <w:r>
              <w:rPr>
                <w:b w:val="0"/>
                <w:sz w:val="19"/>
              </w:rPr>
              <w:t>Копии файлов в реестре пакетов правообладателя (generic); проверка по SHA-256, закреплённым в репозитории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Реестр пакетов npm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pnpm и зависимости веб-приложения</w:t>
            </w:r>
          </w:p>
        </w:tc>
        <w:tc>
          <w:tcPr>
            <w:tcW w:type="dxa" w:w="3572"/>
          </w:tcPr>
          <w:p>
            <w:r>
              <w:rPr>
                <w:b w:val="0"/>
                <w:sz w:val="19"/>
              </w:rPr>
              <w:t>Кэширующее зеркало реестра npm на сборочном сервере; пакеты проверяются по хешам файла pnpm-lock.yaml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Внешний сервис шрифтов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Шрифты веб-интерфейса</w:t>
            </w:r>
          </w:p>
        </w:tc>
        <w:tc>
          <w:tcPr>
            <w:tcW w:type="dxa" w:w="3572"/>
          </w:tcPr>
          <w:p>
            <w:r>
              <w:rPr>
                <w:b w:val="0"/>
                <w:sz w:val="19"/>
              </w:rPr>
              <w:t xml:space="preserve">Файлы шрифтов включаются в репозиторий и подключаются из файлов приложения; обращения к внешнему сервису при сборке нет </w:t>
            </w:r>
            <w:r>
              <w:rPr>
                <w:b/>
                <w:sz w:val="19"/>
                <w:highlight w:val="yellow"/>
              </w:rPr>
              <w:t>[ПРОВЕРИТЬ ДО ПОДАЧИ: способ подключения шрифтов изменён]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Репозитории пакетов Debian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LibreOffice, шрифты, tini в образе extractor</w:t>
            </w:r>
          </w:p>
        </w:tc>
        <w:tc>
          <w:tcPr>
            <w:tcW w:type="dxa" w:w="3572"/>
          </w:tcPr>
          <w:p>
            <w:r>
              <w:rPr>
                <w:b w:val="0"/>
                <w:sz w:val="19"/>
              </w:rPr>
              <w:t xml:space="preserve">Зеркало репозиториев Debian на территории Российской Федерации </w:t>
            </w:r>
            <w:r>
              <w:rPr>
                <w:b/>
                <w:sz w:val="19"/>
                <w:highlight w:val="yellow"/>
              </w:rPr>
              <w:t>[ЗАПОЛНИТЬ: адрес зеркала]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Репозитории чартов Helm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Чарты контроллера входящего трафика, cert-manager, оператора PostgreSQL, мониторинга (только для установки в Kubernetes)</w:t>
            </w:r>
          </w:p>
        </w:tc>
        <w:tc>
          <w:tcPr>
            <w:tcW w:type="dxa" w:w="3572"/>
          </w:tcPr>
          <w:p>
            <w:r>
              <w:rPr>
                <w:b w:val="0"/>
                <w:sz w:val="19"/>
              </w:rPr>
              <w:t>Копии чартов в реестре Helm правообладателя</w:t>
            </w:r>
          </w:p>
        </w:tc>
      </w:tr>
      <w:tr>
        <w:trPr>
          <w:cantSplit/>
        </w:trPr>
        <w:tc>
          <w:tcPr>
            <w:tcW w:type="dxa" w:w="2948"/>
          </w:tcPr>
          <w:p>
            <w:r>
              <w:rPr>
                <w:b w:val="0"/>
                <w:sz w:val="19"/>
              </w:rPr>
              <w:t>База уязвимостей сканера</w:t>
            </w:r>
          </w:p>
        </w:tc>
        <w:tc>
          <w:tcPr>
            <w:tcW w:type="dxa" w:w="2835"/>
          </w:tcPr>
          <w:p>
            <w:r>
              <w:rPr>
                <w:b w:val="0"/>
                <w:sz w:val="19"/>
              </w:rPr>
              <w:t>Обновление базы сканера образов</w:t>
            </w:r>
          </w:p>
        </w:tc>
        <w:tc>
          <w:tcPr>
            <w:tcW w:type="dxa" w:w="3572"/>
          </w:tcPr>
          <w:p>
            <w:r>
              <w:rPr>
                <w:b w:val="0"/>
                <w:sz w:val="19"/>
              </w:rPr>
              <w:t>Копия базы в реестре правообладателя, обновляемая ежесуточно на сборочном сервере; сканер использует только копию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 w:val="0"/>
          <w:sz w:val="28"/>
        </w:rPr>
        <w:t>6. Подтверждающие сведения</w:t>
      </w:r>
    </w:p>
    <w:tbl>
      <w:tblPr>
        <w:tblStyle w:val="TableGrid"/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4535"/>
        <w:gridCol w:w="4819"/>
      </w:tblGrid>
      <w:tr>
        <w:trPr>
          <w:tblHeader/>
          <w:cantSplit/>
        </w:trPr>
        <w:tc>
          <w:tcPr>
            <w:tcW w:type="dxa" w:w="4535"/>
          </w:tcPr>
          <w:p>
            <w:r>
              <w:rPr>
                <w:b/>
                <w:sz w:val="19"/>
              </w:rPr>
              <w:t>Сведения</w:t>
            </w:r>
          </w:p>
        </w:tc>
        <w:tc>
          <w:tcPr>
            <w:tcW w:type="dxa" w:w="4819"/>
          </w:tcPr>
          <w:p>
            <w:r>
              <w:rPr>
                <w:b/>
                <w:sz w:val="19"/>
              </w:rPr>
              <w:t>Документ или ссылка</w:t>
            </w:r>
          </w:p>
        </w:tc>
      </w:tr>
      <w:tr>
        <w:trPr>
          <w:cantSplit/>
        </w:trPr>
        <w:tc>
          <w:tcPr>
            <w:tcW w:type="dxa" w:w="4535"/>
          </w:tcPr>
          <w:p>
            <w:r>
              <w:rPr>
                <w:b w:val="0"/>
                <w:sz w:val="19"/>
              </w:rPr>
              <w:t>Договор с оператором сервиса GitFlic (хранение исходного текста, учёт задач, CI/CD, реестр образов и пакетов)</w:t>
            </w:r>
          </w:p>
        </w:tc>
        <w:tc>
          <w:tcPr>
            <w:tcW w:type="dxa" w:w="4819"/>
          </w:tcPr>
          <w:p>
            <w:r>
              <w:rPr>
                <w:b/>
                <w:sz w:val="19"/>
                <w:highlight w:val="yellow"/>
              </w:rPr>
              <w:t>[ЗАПОЛНИТЬ: номер и дата договора]</w:t>
            </w:r>
          </w:p>
        </w:tc>
      </w:tr>
      <w:tr>
        <w:trPr>
          <w:cantSplit/>
        </w:trPr>
        <w:tc>
          <w:tcPr>
            <w:tcW w:type="dxa" w:w="4535"/>
          </w:tcPr>
          <w:p>
            <w:r>
              <w:rPr>
                <w:b w:val="0"/>
                <w:sz w:val="19"/>
              </w:rPr>
              <w:t>Договор аренды сборочного сервера</w:t>
            </w:r>
          </w:p>
        </w:tc>
        <w:tc>
          <w:tcPr>
            <w:tcW w:type="dxa" w:w="4819"/>
          </w:tcPr>
          <w:p>
            <w:r>
              <w:rPr>
                <w:b/>
                <w:sz w:val="19"/>
                <w:highlight w:val="yellow"/>
              </w:rPr>
              <w:t>[ЗАПОЛНИТЬ: поставщик услуг, номер и дата договора]</w:t>
            </w:r>
          </w:p>
        </w:tc>
      </w:tr>
      <w:tr>
        <w:trPr>
          <w:cantSplit/>
        </w:trPr>
        <w:tc>
          <w:tcPr>
            <w:tcW w:type="dxa" w:w="4535"/>
          </w:tcPr>
          <w:p>
            <w:r>
              <w:rPr>
                <w:b w:val="0"/>
                <w:sz w:val="19"/>
              </w:rPr>
              <w:t>Адреса центров обработки данных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Разделы 2.1 и 4.1</w:t>
            </w:r>
          </w:p>
        </w:tc>
      </w:tr>
      <w:tr>
        <w:trPr>
          <w:cantSplit/>
        </w:trPr>
        <w:tc>
          <w:tcPr>
            <w:tcW w:type="dxa" w:w="4535"/>
          </w:tcPr>
          <w:p>
            <w:r>
              <w:rPr>
                <w:b w:val="0"/>
                <w:sz w:val="19"/>
              </w:rPr>
              <w:t>Лица, имеющие административный доступ к средствам хранения и сборки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Правообладатель и исполнитель по договору на доработку и сопровождение — 2 лица (документ «Описание процессов, обеспечивающих поддержание жизненного цикла программного обеспечения», раздел 6)</w:t>
            </w:r>
          </w:p>
        </w:tc>
      </w:tr>
      <w:tr>
        <w:trPr>
          <w:cantSplit/>
        </w:trPr>
        <w:tc>
          <w:tcPr>
            <w:tcW w:type="dxa" w:w="4535"/>
          </w:tcPr>
          <w:p>
            <w:r>
              <w:rPr>
                <w:b w:val="0"/>
                <w:sz w:val="19"/>
              </w:rPr>
              <w:t>Коммит и SHA-256 листинга исходного текста</w:t>
            </w:r>
          </w:p>
        </w:tc>
        <w:tc>
          <w:tcPr>
            <w:tcW w:type="dxa" w:w="4819"/>
          </w:tcPr>
          <w:p>
            <w:r>
              <w:rPr>
                <w:b w:val="0"/>
                <w:sz w:val="19"/>
              </w:rPr>
              <w:t>Указаны на титульном листе документа «Текст программы»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first" r:id="rId9"/>
      <w:footerReference w:type="first" r:id="rId10"/>
      <w:headerReference w:type="default" r:id="rId11"/>
      <w:footerReference w:type="default" r:id="rId12"/>
      <w:pgSz w:w="11906" w:h="16838"/>
      <w:pgMar w:top="1134" w:right="1134" w:bottom="1134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  <w:rPr>
        <w:sz w:val="16"/>
      </w:rPr>
    </w:pPr>
    <w:r>
      <w:rPr>
        <w:sz w:val="16"/>
      </w:rPr>
      <w:t xml:space="preserve">Страница </w:t>
    </w:r>
    <w:fldSimple w:instr=" PAGE \* Arabic ">
      <w:r>
        <w:rPr>
          <w:noProof/>
          <w:sz w:val="16"/>
        </w:rPr>
        <w:t>1</w:t>
      </w:r>
    </w:fldSimple>
    <w:r>
      <w:rPr>
        <w:sz w:val="16"/>
      </w:rPr>
      <w:t xml:space="preserve"> из </w:t>
    </w:r>
    <w:fldSimple w:instr=" NUMPAGES \* Arabic ">
      <w:r>
        <w:rPr>
          <w:noProof/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1" w:color="000000"/>
      </w:pBdr>
      <w:jc w:val="center"/>
      <w:rPr>
        <w:sz w:val="16"/>
      </w:rPr>
    </w:pPr>
    <w:r>
      <w:rPr>
        <w:sz w:val="16"/>
      </w:rPr>
      <w:t xml:space="preserve">Программный комплекс «Айтечество». Средства хранения и компиляции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hideGrammaticalErrors/>
  <w:hideSpellingError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pacing w:after="0" w:line="24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40" w:lineRule="auto"/>
      <w:outlineLvl w:val="0"/>
    </w:pPr>
    <w:rPr>
      <w:rFonts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rFonts w:ascii="Times New Roman" w:hAnsi="Times New Roman" w:eastAsia="Times New Roman" w:cs="Times New Roman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ing">
    <w:name w:val="Listing"/>
    <w:basedOn w:val="Normal"/>
    <w:pPr>
      <w:widowControl w:val="0"/>
      <w:spacing w:before="0" w:after="0" w:line="240" w:lineRule="auto"/>
      <w:snapToGrid w:val="0"/>
    </w:pPr>
    <w:rPr>
      <w:rFonts w:ascii="Courier New" w:hAnsi="Courier New" w:eastAsia="Courier New" w:cs="Courier New"/>
      <w:b w:val="0"/>
      <w:sz w:val="16"/>
      <w:noProof/>
    </w:rPr>
  </w:style>
  <w:style w:type="paragraph" w:customStyle="1" w:styleId="ListingHeader">
    <w:name w:val="ListingHeader"/>
    <w:basedOn w:val="Listing"/>
    <w:pPr>
      <w:keepNext/>
      <w:widowControl w:val="0"/>
      <w:spacing w:before="0" w:after="0" w:line="240" w:lineRule="auto"/>
      <w:snapToGrid w:val="0"/>
      <w:pBdr>
        <w:bottom w:val="single" w:sz="4" w:space="0" w:color="000000"/>
      </w:pBdr>
    </w:pPr>
    <w:rPr>
      <w:rFonts w:ascii="Courier New" w:hAnsi="Courier New" w:eastAsia="Courier New" w:cs="Courier New"/>
      <w:b w:val="0"/>
      <w:sz w:val="16"/>
      <w:noProof/>
    </w:rPr>
  </w:style>
  <w:style w:type="paragraph" w:customStyle="1" w:styleId="TocHeading">
    <w:name w:val="TocHeading"/>
    <w:basedOn w:val="Normal"/>
    <w:pPr>
      <w:keepNext/>
      <w:spacing w:after="120"/>
    </w:pPr>
    <w:rPr>
      <w:b/>
      <w:sz w:val="24"/>
    </w:rPr>
  </w:style>
  <w:style w:type="paragraph" w:customStyle="1" w:styleId="DocCode">
    <w:name w:val="DocCode"/>
    <w:basedOn w:val="Listing"/>
    <w:pPr>
      <w:ind w:left="340"/>
    </w:pPr>
    <w:rPr>
      <w:sz w:val="17"/>
    </w:rPr>
  </w:style>
  <w:style w:type="paragraph" w:customStyle="1" w:styleId="DocNote">
    <w:name w:val="DocNote"/>
    <w:basedOn w:val="Normal"/>
    <w:pPr>
      <w:spacing w:after="120"/>
      <w:ind w:left="340"/>
    </w:pPr>
    <w:rPr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комплекс «Айтечество». Средства хранения и компиляции</dc:title>
  <dc:subject>Версия 0.2.0 (редакция RU)</dc:subject>
  <dc:creator/>
  <cp:keywords/>
  <dc:description/>
  <cp:lastModifiedBy/>
  <cp:revision>1</cp:revision>
  <dcterms:created xsi:type="dcterms:W3CDTF">2026-10-27T15:08:29Z</dcterms:created>
  <dcterms:modified xsi:type="dcterms:W3CDTF">2026-10-27T15:08:29Z</dcterms:modified>
  <cp:category/>
  <dc:language>ru-RU</dc:language>
</cp:coreProperties>
</file>